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52"/>
          <w:szCs w:val="52"/>
          <w:highlight w:val="none"/>
        </w:rPr>
      </w:pPr>
      <w:r>
        <w:rPr>
          <w:rFonts w:ascii="Times New Roman" w:hAnsi="Times New Roman" w:eastAsia="宋体" w:cs="Times New Roman"/>
          <w:caps w:val="0"/>
          <w:smallCaps w:val="0"/>
          <w:color w:val="auto"/>
          <w:spacing w:val="0"/>
          <w:w w:val="99"/>
          <w:position w:val="0"/>
          <w:sz w:val="52"/>
          <w:szCs w:val="52"/>
          <w:highlight w:val="none"/>
        </w:rPr>
        <w:t xml:space="preserve"> </w:t>
      </w:r>
    </w:p>
    <w:p>
      <w:pPr>
        <w:keepNext w:val="0"/>
        <w:keepLines w:val="0"/>
        <w:pageBreakBefore w:val="0"/>
        <w:kinsoku/>
        <w:wordWrap/>
        <w:overflowPunct/>
        <w:topLinePunct w:val="0"/>
        <w:bidi w:val="0"/>
        <w:ind w:left="0"/>
        <w:textAlignment w:val="auto"/>
        <w:rPr>
          <w:rFonts w:hint="eastAsia" w:ascii="Times New Roman" w:hAnsi="Times New Roman" w:eastAsia="宋体" w:cs="Times New Roman"/>
          <w:caps w:val="0"/>
          <w:smallCaps w:val="0"/>
          <w:color w:val="auto"/>
          <w:spacing w:val="0"/>
          <w:w w:val="99"/>
          <w:position w:val="0"/>
          <w:sz w:val="52"/>
          <w:szCs w:val="52"/>
          <w:highlight w:val="none"/>
          <w:lang w:eastAsia="zh-CN"/>
        </w:rPr>
      </w:pPr>
    </w:p>
    <w:p>
      <w:pPr>
        <w:pStyle w:val="27"/>
        <w:keepNext w:val="0"/>
        <w:keepLines w:val="0"/>
        <w:pageBreakBefore w:val="0"/>
        <w:kinsoku/>
        <w:wordWrap/>
        <w:overflowPunct/>
        <w:topLinePunct w:val="0"/>
        <w:bidi w:val="0"/>
        <w:ind w:left="0"/>
        <w:textAlignment w:val="auto"/>
        <w:rPr>
          <w:rFonts w:hint="eastAsia" w:ascii="Times New Roman" w:hAnsi="Times New Roman" w:eastAsia="宋体" w:cs="Times New Roman"/>
          <w:color w:val="auto"/>
          <w:spacing w:val="0"/>
          <w:w w:val="99"/>
          <w:position w:val="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eastAsia" w:ascii="Times New Roman" w:hAnsi="Times New Roman" w:eastAsia="宋体" w:cs="Times New Roman"/>
          <w:b/>
          <w:caps w:val="0"/>
          <w:smallCaps w:val="0"/>
          <w:color w:val="auto"/>
          <w:spacing w:val="0"/>
          <w:w w:val="99"/>
          <w:position w:val="0"/>
          <w:sz w:val="44"/>
          <w:szCs w:val="44"/>
          <w:highlight w:val="none"/>
          <w:lang w:eastAsia="zh-CN"/>
        </w:rPr>
      </w:pPr>
      <w:r>
        <w:rPr>
          <w:rFonts w:hint="eastAsia" w:ascii="Times New Roman" w:cs="Times New Roman"/>
          <w:b/>
          <w:caps w:val="0"/>
          <w:smallCaps w:val="0"/>
          <w:color w:val="auto"/>
          <w:spacing w:val="0"/>
          <w:w w:val="99"/>
          <w:position w:val="0"/>
          <w:sz w:val="44"/>
          <w:szCs w:val="44"/>
          <w:highlight w:val="none"/>
          <w:lang w:eastAsia="zh-CN"/>
        </w:rPr>
        <w:t>大庆市大同区李氏纸业改建项目</w:t>
      </w:r>
    </w:p>
    <w:p>
      <w:pPr>
        <w:keepNext w:val="0"/>
        <w:keepLines w:val="0"/>
        <w:pageBreakBefore w:val="0"/>
        <w:kinsoku/>
        <w:wordWrap/>
        <w:overflowPunct/>
        <w:topLinePunct w:val="0"/>
        <w:bidi w:val="0"/>
        <w:spacing w:line="360" w:lineRule="auto"/>
        <w:ind w:left="0" w:firstLine="0" w:firstLineChars="0"/>
        <w:jc w:val="center"/>
        <w:textAlignment w:val="auto"/>
        <w:rPr>
          <w:rFonts w:hint="eastAsia" w:ascii="Times New Roman" w:hAnsi="Times New Roman" w:eastAsia="宋体" w:cs="Times New Roman"/>
          <w:b/>
          <w:caps w:val="0"/>
          <w:smallCaps w:val="0"/>
          <w:color w:val="auto"/>
          <w:spacing w:val="0"/>
          <w:w w:val="99"/>
          <w:position w:val="0"/>
          <w:sz w:val="72"/>
          <w:szCs w:val="72"/>
          <w:highlight w:val="none"/>
          <w:lang w:val="en-US" w:eastAsia="zh-CN"/>
        </w:rPr>
      </w:pPr>
      <w:r>
        <w:rPr>
          <w:rFonts w:hint="eastAsia" w:ascii="Times New Roman" w:hAnsi="Times New Roman" w:eastAsia="宋体" w:cs="Times New Roman"/>
          <w:b/>
          <w:caps w:val="0"/>
          <w:smallCaps w:val="0"/>
          <w:color w:val="auto"/>
          <w:spacing w:val="0"/>
          <w:w w:val="99"/>
          <w:position w:val="0"/>
          <w:sz w:val="72"/>
          <w:szCs w:val="72"/>
          <w:highlight w:val="none"/>
          <w:lang w:val="en-US" w:eastAsia="zh-CN"/>
        </w:rPr>
        <w:t>环境影响报告书</w:t>
      </w:r>
    </w:p>
    <w:p>
      <w:pPr>
        <w:keepNext w:val="0"/>
        <w:keepLines w:val="0"/>
        <w:pageBreakBefore w:val="0"/>
        <w:kinsoku/>
        <w:wordWrap/>
        <w:overflowPunct/>
        <w:topLinePunct w:val="0"/>
        <w:bidi w:val="0"/>
        <w:spacing w:line="360" w:lineRule="auto"/>
        <w:ind w:left="0"/>
        <w:jc w:val="center"/>
        <w:textAlignment w:val="auto"/>
        <w:rPr>
          <w:rFonts w:ascii="Times New Roman" w:hAnsi="Times New Roman" w:eastAsia="宋体" w:cs="Times New Roman"/>
          <w:b/>
          <w:caps w:val="0"/>
          <w:smallCaps w:val="0"/>
          <w:color w:val="auto"/>
          <w:spacing w:val="0"/>
          <w:w w:val="99"/>
          <w:position w:val="0"/>
          <w:sz w:val="32"/>
          <w:szCs w:val="32"/>
          <w:highlight w:val="none"/>
        </w:rPr>
      </w:pPr>
      <w:r>
        <w:rPr>
          <w:rFonts w:hint="eastAsia" w:ascii="Times New Roman" w:hAnsi="Times New Roman" w:eastAsia="宋体" w:cs="Times New Roman"/>
          <w:b/>
          <w:caps w:val="0"/>
          <w:smallCaps w:val="0"/>
          <w:color w:val="auto"/>
          <w:spacing w:val="0"/>
          <w:w w:val="99"/>
          <w:position w:val="0"/>
          <w:sz w:val="32"/>
          <w:szCs w:val="32"/>
          <w:highlight w:val="none"/>
          <w:lang w:eastAsia="zh-CN"/>
        </w:rPr>
        <w:t>（</w:t>
      </w:r>
      <w:r>
        <w:rPr>
          <w:rFonts w:hint="eastAsia" w:cs="Times New Roman"/>
          <w:b/>
          <w:caps w:val="0"/>
          <w:smallCaps w:val="0"/>
          <w:color w:val="auto"/>
          <w:spacing w:val="0"/>
          <w:w w:val="99"/>
          <w:position w:val="0"/>
          <w:sz w:val="32"/>
          <w:szCs w:val="32"/>
          <w:highlight w:val="none"/>
          <w:lang w:eastAsia="zh-CN"/>
        </w:rPr>
        <w:t>报审本</w:t>
      </w:r>
      <w:r>
        <w:rPr>
          <w:rFonts w:ascii="Times New Roman" w:hAnsi="Times New Roman" w:eastAsia="宋体" w:cs="Times New Roman"/>
          <w:b/>
          <w:caps w:val="0"/>
          <w:smallCaps w:val="0"/>
          <w:color w:val="auto"/>
          <w:spacing w:val="0"/>
          <w:w w:val="99"/>
          <w:position w:val="0"/>
          <w:sz w:val="32"/>
          <w:szCs w:val="32"/>
          <w:highlight w:val="none"/>
        </w:rPr>
        <w:t>）</w:t>
      </w: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52"/>
          <w:szCs w:val="5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52"/>
          <w:szCs w:val="5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52"/>
          <w:szCs w:val="5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pStyle w:val="4"/>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pStyle w:val="4"/>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highlight w:val="none"/>
        </w:rPr>
      </w:pPr>
    </w:p>
    <w:p>
      <w:pPr>
        <w:keepNext w:val="0"/>
        <w:keepLines w:val="0"/>
        <w:pageBreakBefore w:val="0"/>
        <w:kinsoku/>
        <w:wordWrap/>
        <w:overflowPunct/>
        <w:topLinePunct w:val="0"/>
        <w:bidi w:val="0"/>
        <w:ind w:left="0"/>
        <w:textAlignment w:val="auto"/>
        <w:rPr>
          <w:rFonts w:ascii="Times New Roman" w:hAnsi="Times New Roman" w:eastAsia="宋体" w:cs="Times New Roman"/>
          <w:caps w:val="0"/>
          <w:smallCaps w:val="0"/>
          <w:color w:val="auto"/>
          <w:spacing w:val="0"/>
          <w:w w:val="99"/>
          <w:position w:val="0"/>
          <w:sz w:val="32"/>
          <w:szCs w:val="32"/>
          <w:highlight w:val="none"/>
        </w:rPr>
      </w:pPr>
    </w:p>
    <w:p>
      <w:pPr>
        <w:keepNext w:val="0"/>
        <w:keepLines w:val="0"/>
        <w:pageBreakBefore w:val="0"/>
        <w:widowControl w:val="0"/>
        <w:kinsoku/>
        <w:wordWrap/>
        <w:overflowPunct/>
        <w:topLinePunct w:val="0"/>
        <w:autoSpaceDE/>
        <w:autoSpaceDN/>
        <w:bidi w:val="0"/>
        <w:adjustRightInd/>
        <w:snapToGrid/>
        <w:spacing w:line="360" w:lineRule="auto"/>
        <w:ind w:left="0" w:firstLine="712" w:firstLineChars="200"/>
        <w:jc w:val="both"/>
        <w:textAlignment w:val="auto"/>
        <w:rPr>
          <w:rFonts w:hint="eastAsia" w:ascii="Times New Roman" w:hAnsi="Times New Roman" w:eastAsia="宋体" w:cs="Times New Roman"/>
          <w:b w:val="0"/>
          <w:bCs/>
          <w:caps w:val="0"/>
          <w:smallCaps w:val="0"/>
          <w:color w:val="auto"/>
          <w:spacing w:val="0"/>
          <w:w w:val="99"/>
          <w:position w:val="0"/>
          <w:sz w:val="36"/>
          <w:szCs w:val="36"/>
          <w:highlight w:val="none"/>
          <w:lang w:eastAsia="zh-CN"/>
        </w:rPr>
      </w:pPr>
      <w:r>
        <w:rPr>
          <w:rFonts w:ascii="Times New Roman" w:hAnsi="Times New Roman" w:eastAsia="宋体" w:cs="Times New Roman"/>
          <w:b w:val="0"/>
          <w:bCs/>
          <w:caps w:val="0"/>
          <w:smallCaps w:val="0"/>
          <w:color w:val="auto"/>
          <w:spacing w:val="0"/>
          <w:w w:val="99"/>
          <w:position w:val="0"/>
          <w:sz w:val="36"/>
          <w:szCs w:val="36"/>
          <w:highlight w:val="none"/>
        </w:rPr>
        <w:t>建设单位：大庆市李氏纸业制造有限</w:t>
      </w:r>
      <w:r>
        <w:rPr>
          <w:rFonts w:hint="eastAsia" w:ascii="Times New Roman" w:hAnsi="Times New Roman" w:eastAsia="宋体" w:cs="Times New Roman"/>
          <w:b w:val="0"/>
          <w:bCs/>
          <w:caps w:val="0"/>
          <w:smallCaps w:val="0"/>
          <w:color w:val="auto"/>
          <w:spacing w:val="0"/>
          <w:w w:val="99"/>
          <w:position w:val="0"/>
          <w:sz w:val="36"/>
          <w:szCs w:val="36"/>
          <w:highlight w:val="none"/>
          <w:lang w:eastAsia="zh-CN"/>
        </w:rPr>
        <w:t>责任</w:t>
      </w:r>
      <w:r>
        <w:rPr>
          <w:rFonts w:ascii="Times New Roman" w:hAnsi="Times New Roman" w:eastAsia="宋体" w:cs="Times New Roman"/>
          <w:b w:val="0"/>
          <w:bCs/>
          <w:caps w:val="0"/>
          <w:smallCaps w:val="0"/>
          <w:color w:val="auto"/>
          <w:spacing w:val="0"/>
          <w:w w:val="99"/>
          <w:position w:val="0"/>
          <w:sz w:val="36"/>
          <w:szCs w:val="36"/>
          <w:highlight w:val="none"/>
        </w:rPr>
        <w:t>公司</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ascii="Times New Roman" w:hAnsi="Times New Roman" w:eastAsia="宋体" w:cs="Times New Roman"/>
          <w:b w:val="0"/>
          <w:bCs/>
          <w:caps w:val="0"/>
          <w:smallCaps w:val="0"/>
          <w:color w:val="auto"/>
          <w:spacing w:val="0"/>
          <w:w w:val="99"/>
          <w:position w:val="0"/>
          <w:sz w:val="36"/>
          <w:szCs w:val="36"/>
          <w:highlight w:val="none"/>
        </w:rPr>
      </w:pPr>
      <w:r>
        <w:rPr>
          <w:rFonts w:ascii="Times New Roman" w:hAnsi="Times New Roman" w:eastAsia="宋体" w:cs="Times New Roman"/>
          <w:b w:val="0"/>
          <w:bCs/>
          <w:caps w:val="0"/>
          <w:smallCaps w:val="0"/>
          <w:color w:val="auto"/>
          <w:spacing w:val="0"/>
          <w:w w:val="99"/>
          <w:position w:val="0"/>
          <w:sz w:val="36"/>
          <w:szCs w:val="36"/>
          <w:highlight w:val="none"/>
        </w:rPr>
        <w:t>环评单位：</w:t>
      </w:r>
      <w:r>
        <w:rPr>
          <w:rFonts w:hint="eastAsia" w:ascii="Times New Roman" w:hAnsi="Times New Roman" w:eastAsia="宋体" w:cs="Times New Roman"/>
          <w:b w:val="0"/>
          <w:bCs/>
          <w:caps w:val="0"/>
          <w:smallCaps w:val="0"/>
          <w:color w:val="auto"/>
          <w:spacing w:val="0"/>
          <w:w w:val="99"/>
          <w:position w:val="0"/>
          <w:sz w:val="36"/>
          <w:szCs w:val="36"/>
          <w:highlight w:val="none"/>
          <w:lang w:val="en-US" w:eastAsia="zh-CN"/>
        </w:rPr>
        <w:t>黑龙江永青环保科技有限公司</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eastAsia" w:ascii="Times New Roman" w:hAnsi="Times New Roman" w:eastAsia="宋体" w:cs="Times New Roman"/>
          <w:b w:val="0"/>
          <w:bCs/>
          <w:caps w:val="0"/>
          <w:smallCaps w:val="0"/>
          <w:color w:val="auto"/>
          <w:spacing w:val="0"/>
          <w:w w:val="99"/>
          <w:position w:val="0"/>
          <w:sz w:val="36"/>
          <w:szCs w:val="36"/>
          <w:highlight w:val="none"/>
        </w:rPr>
        <w:sectPr>
          <w:headerReference r:id="rId7" w:type="first"/>
          <w:footerReference r:id="rId10" w:type="first"/>
          <w:headerReference r:id="rId5" w:type="default"/>
          <w:footerReference r:id="rId8" w:type="default"/>
          <w:headerReference r:id="rId6" w:type="even"/>
          <w:footerReference r:id="rId9" w:type="even"/>
          <w:pgSz w:w="11911" w:h="16838"/>
          <w:pgMar w:top="1417" w:right="1417" w:bottom="1417" w:left="1417" w:header="850" w:footer="992" w:gutter="0"/>
          <w:paperSrc/>
          <w:pgBorders>
            <w:top w:val="none" w:sz="0" w:space="0"/>
            <w:left w:val="none" w:sz="0" w:space="0"/>
            <w:bottom w:val="none" w:sz="0" w:space="0"/>
            <w:right w:val="none" w:sz="0" w:space="0"/>
          </w:pgBorders>
          <w:pgNumType w:start="0"/>
          <w:cols w:space="0" w:num="1"/>
          <w:rtlGutter w:val="0"/>
          <w:docGrid w:linePitch="312" w:charSpace="0"/>
        </w:sectPr>
      </w:pPr>
      <w:r>
        <w:rPr>
          <w:rFonts w:hint="eastAsia" w:ascii="Times New Roman" w:hAnsi="Times New Roman" w:eastAsia="宋体" w:cs="Times New Roman"/>
          <w:b w:val="0"/>
          <w:bCs/>
          <w:caps w:val="0"/>
          <w:smallCaps w:val="0"/>
          <w:color w:val="auto"/>
          <w:spacing w:val="0"/>
          <w:w w:val="99"/>
          <w:position w:val="0"/>
          <w:sz w:val="36"/>
          <w:szCs w:val="36"/>
          <w:highlight w:val="none"/>
          <w:lang w:eastAsia="zh-CN"/>
        </w:rPr>
        <w:t>编</w:t>
      </w:r>
      <w:r>
        <w:rPr>
          <w:rFonts w:hint="eastAsia" w:cs="Times New Roman"/>
          <w:b w:val="0"/>
          <w:bCs/>
          <w:caps w:val="0"/>
          <w:smallCaps w:val="0"/>
          <w:color w:val="auto"/>
          <w:spacing w:val="0"/>
          <w:w w:val="99"/>
          <w:position w:val="0"/>
          <w:sz w:val="36"/>
          <w:szCs w:val="36"/>
          <w:highlight w:val="none"/>
          <w:lang w:eastAsia="zh-CN"/>
        </w:rPr>
        <w:t>制</w:t>
      </w:r>
      <w:r>
        <w:rPr>
          <w:rFonts w:hint="eastAsia" w:ascii="Times New Roman" w:hAnsi="Times New Roman" w:eastAsia="宋体" w:cs="Times New Roman"/>
          <w:b w:val="0"/>
          <w:bCs/>
          <w:caps w:val="0"/>
          <w:smallCaps w:val="0"/>
          <w:color w:val="auto"/>
          <w:spacing w:val="0"/>
          <w:w w:val="99"/>
          <w:position w:val="0"/>
          <w:sz w:val="36"/>
          <w:szCs w:val="36"/>
          <w:highlight w:val="none"/>
          <w:lang w:eastAsia="zh-CN"/>
        </w:rPr>
        <w:t>日期：</w:t>
      </w:r>
      <w:r>
        <w:rPr>
          <w:rFonts w:hint="eastAsia" w:ascii="Times New Roman" w:hAnsi="Times New Roman" w:eastAsia="宋体" w:cs="Times New Roman"/>
          <w:b w:val="0"/>
          <w:bCs/>
          <w:caps w:val="0"/>
          <w:smallCaps w:val="0"/>
          <w:color w:val="auto"/>
          <w:spacing w:val="0"/>
          <w:w w:val="99"/>
          <w:position w:val="0"/>
          <w:sz w:val="36"/>
          <w:szCs w:val="36"/>
          <w:highlight w:val="none"/>
          <w:lang w:val="en-US" w:eastAsia="zh-CN"/>
        </w:rPr>
        <w:t>202</w:t>
      </w:r>
      <w:r>
        <w:rPr>
          <w:rFonts w:hint="eastAsia" w:ascii="Times New Roman" w:cs="Times New Roman"/>
          <w:b w:val="0"/>
          <w:bCs/>
          <w:caps w:val="0"/>
          <w:smallCaps w:val="0"/>
          <w:color w:val="auto"/>
          <w:spacing w:val="0"/>
          <w:w w:val="99"/>
          <w:position w:val="0"/>
          <w:sz w:val="36"/>
          <w:szCs w:val="36"/>
          <w:highlight w:val="none"/>
          <w:lang w:val="en-US" w:eastAsia="zh-CN"/>
        </w:rPr>
        <w:t>3</w:t>
      </w:r>
      <w:r>
        <w:rPr>
          <w:rFonts w:ascii="Times New Roman" w:hAnsi="Times New Roman" w:eastAsia="宋体" w:cs="Times New Roman"/>
          <w:b w:val="0"/>
          <w:bCs/>
          <w:caps w:val="0"/>
          <w:smallCaps w:val="0"/>
          <w:color w:val="auto"/>
          <w:spacing w:val="0"/>
          <w:w w:val="99"/>
          <w:position w:val="0"/>
          <w:sz w:val="36"/>
          <w:szCs w:val="36"/>
          <w:highlight w:val="none"/>
        </w:rPr>
        <w:t>年</w:t>
      </w:r>
      <w:r>
        <w:rPr>
          <w:rFonts w:hint="eastAsia" w:cs="Times New Roman"/>
          <w:b w:val="0"/>
          <w:bCs/>
          <w:caps w:val="0"/>
          <w:smallCaps w:val="0"/>
          <w:color w:val="auto"/>
          <w:spacing w:val="0"/>
          <w:w w:val="99"/>
          <w:position w:val="0"/>
          <w:sz w:val="36"/>
          <w:szCs w:val="36"/>
          <w:highlight w:val="none"/>
          <w:lang w:val="en-US" w:eastAsia="zh-CN"/>
        </w:rPr>
        <w:t>8</w:t>
      </w:r>
      <w:r>
        <w:rPr>
          <w:rFonts w:hint="eastAsia" w:ascii="Times New Roman" w:hAnsi="Times New Roman" w:eastAsia="宋体" w:cs="Times New Roman"/>
          <w:b w:val="0"/>
          <w:bCs/>
          <w:caps w:val="0"/>
          <w:smallCaps w:val="0"/>
          <w:color w:val="auto"/>
          <w:spacing w:val="0"/>
          <w:w w:val="99"/>
          <w:position w:val="0"/>
          <w:sz w:val="36"/>
          <w:szCs w:val="36"/>
          <w:highlight w:val="none"/>
        </w:rPr>
        <w:t>月</w:t>
      </w: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aps w:val="0"/>
          <w:smallCaps w:val="0"/>
          <w:snapToGrid w:val="0"/>
          <w:color w:val="auto"/>
          <w:spacing w:val="0"/>
          <w:w w:val="99"/>
          <w:kern w:val="2"/>
          <w:position w:val="0"/>
          <w:sz w:val="38"/>
          <w:szCs w:val="38"/>
          <w:highlight w:val="none"/>
        </w:rPr>
      </w:pPr>
      <w:r>
        <w:rPr>
          <w:rFonts w:hint="eastAsia" w:ascii="Times New Roman" w:hAnsi="Times New Roman" w:eastAsia="宋体" w:cs="Times New Roman"/>
          <w:bCs/>
          <w:caps w:val="0"/>
          <w:smallCaps w:val="0"/>
          <w:snapToGrid w:val="0"/>
          <w:color w:val="auto"/>
          <w:spacing w:val="0"/>
          <w:w w:val="99"/>
          <w:kern w:val="2"/>
          <w:position w:val="0"/>
          <w:sz w:val="38"/>
          <w:szCs w:val="38"/>
          <w:highlight w:val="none"/>
        </w:rPr>
        <w:drawing>
          <wp:inline distT="0" distB="0" distL="114300" distR="114300">
            <wp:extent cx="5564505" cy="7856855"/>
            <wp:effectExtent l="0" t="0" r="17145" b="10795"/>
            <wp:docPr id="22" name="图片 22" descr="李氏纸业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李氏纸业资质页"/>
                    <pic:cNvPicPr>
                      <a:picLocks noChangeAspect="1"/>
                    </pic:cNvPicPr>
                  </pic:nvPicPr>
                  <pic:blipFill>
                    <a:blip r:embed="rId20"/>
                    <a:stretch>
                      <a:fillRect/>
                    </a:stretch>
                  </pic:blipFill>
                  <pic:spPr>
                    <a:xfrm>
                      <a:off x="0" y="0"/>
                      <a:ext cx="5564505" cy="7856855"/>
                    </a:xfrm>
                    <a:prstGeom prst="rect">
                      <a:avLst/>
                    </a:prstGeom>
                  </pic:spPr>
                </pic:pic>
              </a:graphicData>
            </a:graphic>
          </wp:inline>
        </w:drawing>
      </w: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aps w:val="0"/>
          <w:smallCaps w:val="0"/>
          <w:snapToGrid w:val="0"/>
          <w:color w:val="auto"/>
          <w:spacing w:val="0"/>
          <w:w w:val="99"/>
          <w:kern w:val="2"/>
          <w:position w:val="0"/>
          <w:sz w:val="38"/>
          <w:szCs w:val="38"/>
          <w:highlight w:val="none"/>
        </w:rPr>
      </w:pP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aps w:val="0"/>
          <w:smallCaps w:val="0"/>
          <w:snapToGrid w:val="0"/>
          <w:color w:val="auto"/>
          <w:spacing w:val="0"/>
          <w:w w:val="99"/>
          <w:kern w:val="2"/>
          <w:position w:val="0"/>
          <w:sz w:val="38"/>
          <w:szCs w:val="38"/>
          <w:highlight w:val="none"/>
        </w:rPr>
      </w:pP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aps w:val="0"/>
          <w:smallCaps w:val="0"/>
          <w:snapToGrid w:val="0"/>
          <w:color w:val="auto"/>
          <w:spacing w:val="0"/>
          <w:w w:val="99"/>
          <w:kern w:val="2"/>
          <w:position w:val="0"/>
          <w:sz w:val="38"/>
          <w:szCs w:val="38"/>
          <w:highlight w:val="none"/>
        </w:rPr>
      </w:pPr>
    </w:p>
    <w:sdt>
      <w:sdtPr>
        <w:rPr>
          <w:rFonts w:ascii="宋体" w:hAnsi="宋体" w:eastAsia="宋体" w:cs="Times New Roman"/>
          <w:sz w:val="32"/>
          <w:szCs w:val="32"/>
          <w:lang w:val="zh-CN" w:eastAsia="zh-CN" w:bidi="zh-CN"/>
        </w:rPr>
        <w:id w:val="147481503"/>
        <w15:color w:val="DBDBDB"/>
        <w:docPartObj>
          <w:docPartGallery w:val="Table of Contents"/>
          <w:docPartUnique/>
        </w:docPartObj>
      </w:sdtPr>
      <w:sdtEndPr>
        <w:rPr>
          <w:rFonts w:ascii="宋体" w:hAnsi="宋体" w:eastAsia="宋体" w:cs="Times New Roman"/>
          <w:sz w:val="21"/>
          <w:szCs w:val="22"/>
          <w:lang w:val="zh-CN" w:eastAsia="zh-CN" w:bidi="zh-CN"/>
        </w:rPr>
      </w:sdtEndPr>
      <w:sdtContent>
        <w:p>
          <w:pPr>
            <w:keepNext w:val="0"/>
            <w:keepLines w:val="0"/>
            <w:pageBreakBefore w:val="0"/>
            <w:kinsoku/>
            <w:wordWrap/>
            <w:overflowPunct/>
            <w:topLinePunct w:val="0"/>
            <w:bidi w:val="0"/>
            <w:adjustRightInd/>
            <w:snapToGrid/>
            <w:spacing w:before="0" w:after="0" w:line="500" w:lineRule="exact"/>
            <w:ind w:left="0" w:leftChars="0" w:right="0" w:rightChars="0" w:firstLine="0" w:firstLineChars="0"/>
            <w:jc w:val="center"/>
            <w:textAlignment w:val="auto"/>
            <w:rPr>
              <w:rFonts w:ascii="Times New Roman" w:hAnsi="Times New Roman" w:eastAsia="宋体" w:cs="Times New Roman"/>
              <w:caps w:val="0"/>
              <w:sz w:val="32"/>
              <w:szCs w:val="32"/>
            </w:rPr>
          </w:pPr>
          <w:bookmarkStart w:id="0" w:name="_Toc2945"/>
          <w:r>
            <w:rPr>
              <w:rFonts w:ascii="Times New Roman" w:hAnsi="Times New Roman" w:eastAsia="宋体" w:cs="Times New Roman"/>
              <w:caps w:val="0"/>
              <w:sz w:val="32"/>
              <w:szCs w:val="32"/>
            </w:rPr>
            <w:t>目</w:t>
          </w:r>
          <w:r>
            <w:rPr>
              <w:rFonts w:hint="eastAsia" w:cs="Times New Roman"/>
              <w:caps w:val="0"/>
              <w:sz w:val="32"/>
              <w:szCs w:val="32"/>
              <w:lang w:val="en-US" w:eastAsia="zh-CN"/>
            </w:rPr>
            <w:t xml:space="preserve">     </w:t>
          </w:r>
          <w:r>
            <w:rPr>
              <w:rFonts w:ascii="Times New Roman" w:hAnsi="Times New Roman" w:eastAsia="宋体" w:cs="Times New Roman"/>
              <w:caps w:val="0"/>
              <w:sz w:val="32"/>
              <w:szCs w:val="32"/>
            </w:rPr>
            <w:t>录</w:t>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TOC \o "1-3" \h \u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_Toc10809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1.</w:t>
          </w:r>
          <w:r>
            <w:rPr>
              <w:rFonts w:ascii="Times New Roman" w:hAnsi="Times New Roman" w:eastAsia="宋体" w:cs="Times New Roman"/>
              <w:caps w:val="0"/>
              <w:kern w:val="44"/>
              <w:sz w:val="24"/>
              <w:highlight w:val="none"/>
              <w:lang w:val="en-US" w:bidi="ar-SA"/>
            </w:rPr>
            <w:t>概述</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_Toc10809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_Toc14118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1.1</w:t>
          </w:r>
          <w:r>
            <w:rPr>
              <w:rFonts w:hint="eastAsia" w:ascii="Times New Roman" w:hAnsi="Times New Roman" w:eastAsia="宋体" w:cs="Times New Roman"/>
              <w:bCs w:val="0"/>
              <w:caps w:val="0"/>
              <w:kern w:val="2"/>
              <w:sz w:val="24"/>
              <w:szCs w:val="20"/>
              <w:highlight w:val="none"/>
              <w:lang w:val="en-US" w:bidi="ar-SA"/>
            </w:rPr>
            <w:t>建设项目特点</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_Toc14118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_Toc22538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1.2</w:t>
          </w:r>
          <w:r>
            <w:rPr>
              <w:rFonts w:ascii="Times New Roman" w:hAnsi="Times New Roman" w:eastAsia="宋体" w:cs="Times New Roman"/>
              <w:bCs w:val="0"/>
              <w:caps w:val="0"/>
              <w:kern w:val="2"/>
              <w:sz w:val="24"/>
              <w:szCs w:val="20"/>
              <w:highlight w:val="none"/>
              <w:lang w:val="en-US" w:bidi="ar-SA"/>
            </w:rPr>
            <w:t>环境影响评价工作过程</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_Toc22538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3</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_Toc24869 </w:instrText>
          </w:r>
          <w:r>
            <w:rPr>
              <w:rFonts w:ascii="Times New Roman" w:hAnsi="Times New Roman" w:eastAsia="宋体" w:cs="Times New Roman"/>
              <w:caps w:val="0"/>
              <w:sz w:val="24"/>
            </w:rPr>
            <w:fldChar w:fldCharType="separate"/>
          </w:r>
          <w:r>
            <w:rPr>
              <w:rFonts w:ascii="Times New Roman" w:hAnsi="Times New Roman" w:eastAsia="宋体" w:cs="Times New Roman"/>
              <w:bCs w:val="0"/>
              <w:caps w:val="0"/>
              <w:kern w:val="2"/>
              <w:sz w:val="24"/>
              <w:szCs w:val="20"/>
              <w:highlight w:val="none"/>
              <w:lang w:val="en-US" w:bidi="ar-SA"/>
            </w:rPr>
            <w:t>1.</w:t>
          </w:r>
          <w:r>
            <w:rPr>
              <w:rFonts w:hint="eastAsia" w:ascii="Times New Roman" w:hAnsi="Times New Roman" w:eastAsia="宋体" w:cs="Times New Roman"/>
              <w:bCs w:val="0"/>
              <w:caps w:val="0"/>
              <w:kern w:val="2"/>
              <w:sz w:val="24"/>
              <w:szCs w:val="20"/>
              <w:highlight w:val="none"/>
              <w:lang w:val="en-US" w:eastAsia="zh-CN" w:bidi="ar-SA"/>
            </w:rPr>
            <w:t>3</w:t>
          </w:r>
          <w:r>
            <w:rPr>
              <w:rFonts w:ascii="Times New Roman" w:hAnsi="Times New Roman" w:eastAsia="宋体" w:cs="Times New Roman"/>
              <w:bCs w:val="0"/>
              <w:caps w:val="0"/>
              <w:kern w:val="2"/>
              <w:sz w:val="24"/>
              <w:szCs w:val="20"/>
              <w:highlight w:val="none"/>
              <w:lang w:val="en-US" w:bidi="ar-SA"/>
            </w:rPr>
            <w:t>分析判定相关</w:t>
          </w:r>
          <w:r>
            <w:rPr>
              <w:rFonts w:hint="eastAsia" w:ascii="Times New Roman" w:hAnsi="Times New Roman" w:eastAsia="宋体" w:cs="Times New Roman"/>
              <w:bCs w:val="0"/>
              <w:caps w:val="0"/>
              <w:kern w:val="2"/>
              <w:sz w:val="24"/>
              <w:szCs w:val="20"/>
              <w:highlight w:val="none"/>
              <w:lang w:val="en-US" w:eastAsia="zh-CN" w:bidi="ar-SA"/>
            </w:rPr>
            <w:t>情况</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_Toc24869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5</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jc w:val="left"/>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_Toc12677 </w:instrText>
          </w:r>
          <w:r>
            <w:rPr>
              <w:rFonts w:ascii="Times New Roman" w:hAnsi="Times New Roman" w:eastAsia="宋体" w:cs="Times New Roman"/>
              <w:caps w:val="0"/>
              <w:sz w:val="24"/>
            </w:rPr>
            <w:fldChar w:fldCharType="separate"/>
          </w:r>
          <w:r>
            <w:rPr>
              <w:rFonts w:ascii="Times New Roman" w:hAnsi="Times New Roman" w:eastAsia="宋体" w:cs="Times New Roman"/>
              <w:bCs w:val="0"/>
              <w:caps w:val="0"/>
              <w:kern w:val="2"/>
              <w:sz w:val="24"/>
              <w:szCs w:val="20"/>
              <w:highlight w:val="none"/>
              <w:lang w:val="en-US" w:bidi="ar-SA"/>
            </w:rPr>
            <w:t>1.</w:t>
          </w:r>
          <w:r>
            <w:rPr>
              <w:rFonts w:hint="eastAsia" w:ascii="Times New Roman" w:hAnsi="Times New Roman" w:eastAsia="宋体" w:cs="Times New Roman"/>
              <w:bCs w:val="0"/>
              <w:caps w:val="0"/>
              <w:kern w:val="2"/>
              <w:sz w:val="24"/>
              <w:szCs w:val="20"/>
              <w:highlight w:val="none"/>
              <w:lang w:val="en-US" w:eastAsia="zh-CN" w:bidi="ar-SA"/>
            </w:rPr>
            <w:t>4关注的</w:t>
          </w:r>
          <w:r>
            <w:rPr>
              <w:rFonts w:ascii="Times New Roman" w:hAnsi="Times New Roman" w:eastAsia="宋体" w:cs="Times New Roman"/>
              <w:bCs w:val="0"/>
              <w:caps w:val="0"/>
              <w:kern w:val="2"/>
              <w:sz w:val="24"/>
              <w:szCs w:val="20"/>
              <w:highlight w:val="none"/>
              <w:lang w:val="en-US" w:bidi="ar-SA"/>
            </w:rPr>
            <w:t>主要环境问题及环境影响</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_Toc12677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_Toc18986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1.5</w:t>
          </w:r>
          <w:r>
            <w:rPr>
              <w:rFonts w:ascii="Times New Roman" w:hAnsi="Times New Roman" w:eastAsia="宋体" w:cs="Times New Roman"/>
              <w:bCs w:val="0"/>
              <w:caps w:val="0"/>
              <w:kern w:val="2"/>
              <w:sz w:val="24"/>
              <w:szCs w:val="20"/>
              <w:highlight w:val="none"/>
              <w:lang w:val="en-US" w:bidi="ar-SA"/>
            </w:rPr>
            <w:t>环境影响评价的主要结论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_Toc18986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_Toc23089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2总则</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_Toc23089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_Toc28453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2.1</w:t>
          </w:r>
          <w:r>
            <w:rPr>
              <w:rFonts w:hint="eastAsia" w:ascii="Times New Roman" w:hAnsi="Times New Roman" w:eastAsia="宋体" w:cs="Times New Roman"/>
              <w:bCs w:val="0"/>
              <w:caps w:val="0"/>
              <w:kern w:val="2"/>
              <w:sz w:val="24"/>
              <w:szCs w:val="20"/>
              <w:highlight w:val="none"/>
              <w:lang w:val="en-US" w:bidi="ar-SA"/>
            </w:rPr>
            <w:t>编制依据</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_Toc28453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_Toc24692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2.2</w:t>
          </w:r>
          <w:r>
            <w:rPr>
              <w:rFonts w:hint="eastAsia" w:ascii="Times New Roman" w:hAnsi="Times New Roman" w:eastAsia="宋体" w:cs="Times New Roman"/>
              <w:bCs w:val="0"/>
              <w:caps w:val="0"/>
              <w:kern w:val="2"/>
              <w:sz w:val="24"/>
              <w:szCs w:val="20"/>
              <w:highlight w:val="none"/>
              <w:lang w:val="en-US" w:bidi="ar-SA"/>
            </w:rPr>
            <w:t>评价目的和评价原则</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_Toc24692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13</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_Toc2357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2.3</w:t>
          </w:r>
          <w:r>
            <w:rPr>
              <w:rFonts w:hint="eastAsia" w:ascii="Times New Roman" w:hAnsi="Times New Roman" w:eastAsia="宋体" w:cs="Times New Roman"/>
              <w:bCs w:val="0"/>
              <w:caps w:val="0"/>
              <w:kern w:val="2"/>
              <w:sz w:val="24"/>
              <w:szCs w:val="20"/>
              <w:highlight w:val="none"/>
              <w:lang w:val="en-US" w:bidi="ar-SA"/>
            </w:rPr>
            <w:t>环境影响识别</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_Toc2357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13</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_Toc9407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2.4</w:t>
          </w:r>
          <w:r>
            <w:rPr>
              <w:rFonts w:hint="eastAsia" w:ascii="Times New Roman" w:hAnsi="Times New Roman" w:eastAsia="宋体" w:cs="Times New Roman"/>
              <w:bCs w:val="0"/>
              <w:caps w:val="0"/>
              <w:kern w:val="2"/>
              <w:sz w:val="24"/>
              <w:szCs w:val="20"/>
              <w:highlight w:val="none"/>
              <w:lang w:val="en-US" w:bidi="ar-SA"/>
            </w:rPr>
            <w:t>环境功能区划及评价标准</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_Toc9407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_Toc23977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2.5</w:t>
          </w:r>
          <w:r>
            <w:rPr>
              <w:rFonts w:hint="eastAsia" w:ascii="Times New Roman" w:hAnsi="Times New Roman" w:eastAsia="宋体" w:cs="Times New Roman"/>
              <w:bCs w:val="0"/>
              <w:caps w:val="0"/>
              <w:kern w:val="2"/>
              <w:sz w:val="24"/>
              <w:szCs w:val="20"/>
              <w:highlight w:val="none"/>
              <w:lang w:val="en-US" w:bidi="ar-SA"/>
            </w:rPr>
            <w:t>评价等级和评价重点</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_Toc23977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21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_Toc288 </w:instrText>
          </w:r>
          <w:r>
            <w:rPr>
              <w:rFonts w:ascii="Times New Roman" w:hAnsi="Times New Roman" w:eastAsia="宋体" w:cs="Times New Roman"/>
              <w:caps w:val="0"/>
              <w:sz w:val="24"/>
            </w:rPr>
            <w:fldChar w:fldCharType="separate"/>
          </w:r>
          <w:r>
            <w:rPr>
              <w:rFonts w:ascii="Times New Roman" w:hAnsi="Times New Roman" w:eastAsia="宋体" w:cs="Times New Roman"/>
              <w:bCs w:val="0"/>
              <w:caps w:val="0"/>
              <w:kern w:val="2"/>
              <w:sz w:val="24"/>
              <w:szCs w:val="20"/>
              <w:highlight w:val="none"/>
              <w:lang w:val="en-US" w:bidi="ar-SA"/>
            </w:rPr>
            <w:t>2.</w:t>
          </w:r>
          <w:r>
            <w:rPr>
              <w:rFonts w:hint="eastAsia" w:ascii="Times New Roman" w:hAnsi="Times New Roman" w:eastAsia="宋体" w:cs="Times New Roman"/>
              <w:bCs w:val="0"/>
              <w:caps w:val="0"/>
              <w:kern w:val="2"/>
              <w:sz w:val="24"/>
              <w:szCs w:val="20"/>
              <w:highlight w:val="none"/>
              <w:lang w:val="en-US" w:eastAsia="zh-CN" w:bidi="ar-SA"/>
            </w:rPr>
            <w:t>6</w:t>
          </w:r>
          <w:r>
            <w:rPr>
              <w:rFonts w:ascii="Times New Roman" w:hAnsi="Times New Roman" w:eastAsia="宋体" w:cs="Times New Roman"/>
              <w:bCs w:val="0"/>
              <w:caps w:val="0"/>
              <w:kern w:val="2"/>
              <w:sz w:val="24"/>
              <w:szCs w:val="20"/>
              <w:highlight w:val="none"/>
              <w:lang w:val="en-US" w:bidi="ar-SA"/>
            </w:rPr>
            <w:t>环境敏感目标</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34</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_Toc4117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3建设项目工程分析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_Toc4117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38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_Toc15769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3.1</w:t>
          </w:r>
          <w:r>
            <w:rPr>
              <w:rFonts w:hint="eastAsia" w:ascii="Times New Roman" w:hAnsi="Times New Roman" w:eastAsia="宋体" w:cs="Times New Roman"/>
              <w:bCs w:val="0"/>
              <w:caps w:val="0"/>
              <w:kern w:val="2"/>
              <w:sz w:val="24"/>
              <w:szCs w:val="20"/>
              <w:highlight w:val="none"/>
              <w:lang w:val="en-US" w:bidi="ar-SA"/>
            </w:rPr>
            <w:t>原有项目基本情况</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_Toc15769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38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_Toc28894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3.2</w:t>
          </w:r>
          <w:r>
            <w:rPr>
              <w:rFonts w:hint="eastAsia" w:ascii="Times New Roman" w:hAnsi="Times New Roman" w:eastAsia="宋体" w:cs="Times New Roman"/>
              <w:bCs w:val="0"/>
              <w:caps w:val="0"/>
              <w:kern w:val="2"/>
              <w:sz w:val="24"/>
              <w:szCs w:val="20"/>
              <w:highlight w:val="none"/>
              <w:lang w:val="en-US" w:bidi="ar-SA"/>
            </w:rPr>
            <w:t>改建项目工程分析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_Toc28894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46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_Toc12781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3.</w:t>
          </w:r>
          <w:r>
            <w:rPr>
              <w:rFonts w:hint="eastAsia" w:ascii="Times New Roman" w:hAnsi="Times New Roman" w:eastAsia="宋体" w:cs="Times New Roman"/>
              <w:bCs w:val="0"/>
              <w:caps w:val="0"/>
              <w:kern w:val="2"/>
              <w:sz w:val="24"/>
              <w:szCs w:val="20"/>
              <w:highlight w:val="none"/>
              <w:lang w:val="en-US" w:eastAsia="zh-CN" w:bidi="ar-SA"/>
            </w:rPr>
            <w:t>3</w:t>
          </w:r>
          <w:r>
            <w:rPr>
              <w:rFonts w:hint="eastAsia" w:ascii="Times New Roman" w:hAnsi="Times New Roman" w:eastAsia="宋体" w:cs="Times New Roman"/>
              <w:bCs w:val="0"/>
              <w:caps w:val="0"/>
              <w:kern w:val="2"/>
              <w:sz w:val="24"/>
              <w:szCs w:val="20"/>
              <w:highlight w:val="none"/>
              <w:lang w:val="en-US" w:bidi="ar-SA"/>
            </w:rPr>
            <w:t>生产工艺流程</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_Toc12781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56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_Toc26931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eastAsia="zh-CN" w:bidi="ar-SA"/>
            </w:rPr>
            <w:t>3.4</w:t>
          </w:r>
          <w:r>
            <w:rPr>
              <w:rFonts w:hint="eastAsia" w:ascii="Times New Roman" w:hAnsi="Times New Roman" w:eastAsia="宋体" w:cs="Times New Roman"/>
              <w:bCs w:val="0"/>
              <w:caps w:val="0"/>
              <w:kern w:val="2"/>
              <w:sz w:val="24"/>
              <w:szCs w:val="20"/>
              <w:highlight w:val="none"/>
              <w:lang w:val="en-US" w:bidi="ar-SA"/>
            </w:rPr>
            <w:t>污染源分析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_Toc26931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60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_Toc16974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3.</w:t>
          </w:r>
          <w:r>
            <w:rPr>
              <w:rFonts w:hint="eastAsia" w:ascii="Times New Roman" w:hAnsi="Times New Roman" w:eastAsia="宋体" w:cs="Times New Roman"/>
              <w:bCs w:val="0"/>
              <w:caps w:val="0"/>
              <w:kern w:val="2"/>
              <w:sz w:val="24"/>
              <w:szCs w:val="20"/>
              <w:highlight w:val="none"/>
              <w:lang w:val="en-US" w:eastAsia="zh-CN" w:bidi="ar-SA"/>
            </w:rPr>
            <w:t>5</w:t>
          </w:r>
          <w:r>
            <w:rPr>
              <w:rFonts w:hint="eastAsia" w:ascii="Times New Roman" w:hAnsi="Times New Roman" w:eastAsia="宋体" w:cs="Times New Roman"/>
              <w:bCs w:val="0"/>
              <w:caps w:val="0"/>
              <w:kern w:val="2"/>
              <w:sz w:val="24"/>
              <w:szCs w:val="20"/>
              <w:highlight w:val="none"/>
              <w:lang w:val="en-US" w:bidi="ar-SA"/>
            </w:rPr>
            <w:t>清洁生产分析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_Toc16974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71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_Toc22482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4环境现状调查与评价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_Toc22482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_Toc26730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4.1自然环境现状调查与评价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_Toc26730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_Toc20101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4.2环境保护目标调查</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_Toc20101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80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_Toc28852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4.3环境空气质量现状调查与评价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_Toc28852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81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_Toc5446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4.4地表水环境质量现状评价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_Toc5446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86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_Toc10503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4.5地下水环境现状调查与评价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_Toc10503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86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_Toc24857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4.6声环境质量现状评价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_Toc24857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92</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_Toc17830 </w:instrText>
          </w:r>
          <w:r>
            <w:rPr>
              <w:rFonts w:ascii="Times New Roman" w:hAnsi="Times New Roman" w:eastAsia="宋体" w:cs="Times New Roman"/>
              <w:caps w:val="0"/>
              <w:sz w:val="24"/>
            </w:rPr>
            <w:fldChar w:fldCharType="separate"/>
          </w:r>
          <w:r>
            <w:rPr>
              <w:rFonts w:hint="default" w:ascii="Times New Roman" w:hAnsi="Times New Roman" w:eastAsia="宋体" w:cs="Times New Roman"/>
              <w:caps w:val="0"/>
              <w:sz w:val="24"/>
              <w:highlight w:val="none"/>
            </w:rPr>
            <w:t>4.</w:t>
          </w:r>
          <w:r>
            <w:rPr>
              <w:rFonts w:hint="eastAsia" w:ascii="Times New Roman" w:hAnsi="Times New Roman" w:eastAsia="宋体" w:cs="Times New Roman"/>
              <w:caps w:val="0"/>
              <w:sz w:val="24"/>
              <w:highlight w:val="none"/>
              <w:lang w:val="en-US" w:eastAsia="zh-CN"/>
            </w:rPr>
            <w:t>7</w:t>
          </w:r>
          <w:r>
            <w:rPr>
              <w:rFonts w:hint="default" w:ascii="Times New Roman" w:hAnsi="Times New Roman" w:eastAsia="宋体" w:cs="Times New Roman"/>
              <w:caps w:val="0"/>
              <w:sz w:val="24"/>
              <w:highlight w:val="none"/>
            </w:rPr>
            <w:t>土壤质量现状监测与评价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_Toc17830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93</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_Toc12854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5环境影响预测与评价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_Toc12854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104</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_Toc23876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5.1施工期环境影响分析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_Toc23876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104</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_Toc32667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5.2运营期环境影响评价</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_Toc32667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108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_Toc17788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caps w:val="0"/>
              <w:kern w:val="44"/>
              <w:sz w:val="24"/>
              <w:highlight w:val="none"/>
              <w:lang w:val="en-US" w:eastAsia="zh-CN" w:bidi="ar-SA"/>
            </w:rPr>
            <w:t>6环境保护措施及其可行性论证</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_Toc17788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146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_Toc32484 </w:instrText>
          </w:r>
          <w:r>
            <w:rPr>
              <w:rFonts w:ascii="Times New Roman" w:hAnsi="Times New Roman" w:eastAsia="宋体" w:cs="Times New Roman"/>
              <w:caps w:val="0"/>
              <w:sz w:val="24"/>
            </w:rPr>
            <w:fldChar w:fldCharType="separate"/>
          </w:r>
          <w:r>
            <w:rPr>
              <w:rFonts w:hint="eastAsia" w:ascii="Times New Roman" w:hAnsi="Times New Roman" w:eastAsia="宋体" w:cs="Times New Roman"/>
              <w:bCs w:val="0"/>
              <w:caps w:val="0"/>
              <w:kern w:val="2"/>
              <w:sz w:val="24"/>
              <w:szCs w:val="20"/>
              <w:highlight w:val="none"/>
              <w:lang w:val="en-US" w:bidi="ar-SA"/>
            </w:rPr>
            <w:t>6.1施工期污染防治措施</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_Toc32484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146</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_Toc2809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6.2防沙治沙措施</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_Toc2809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148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_Toc3860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6.3运营期污染物防治措施</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_Toc3860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149</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_Toc28550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6.</w:t>
          </w:r>
          <w:r>
            <w:rPr>
              <w:rFonts w:hint="eastAsia" w:ascii="Times New Roman" w:hAnsi="Times New Roman" w:eastAsia="宋体" w:cs="Times New Roman"/>
              <w:caps w:val="0"/>
              <w:sz w:val="24"/>
              <w:highlight w:val="none"/>
              <w:lang w:val="en-US" w:eastAsia="zh-CN"/>
            </w:rPr>
            <w:t>4</w:t>
          </w:r>
          <w:r>
            <w:rPr>
              <w:rFonts w:ascii="Times New Roman" w:hAnsi="Times New Roman" w:eastAsia="宋体" w:cs="Times New Roman"/>
              <w:caps w:val="0"/>
              <w:sz w:val="24"/>
              <w:highlight w:val="none"/>
            </w:rPr>
            <w:t>土壤防治措施</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_Toc28550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_Toc9040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7环境经济损益分析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_Toc9040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159</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_Toc2991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lang w:val="en-US" w:eastAsia="zh-CN"/>
            </w:rPr>
            <w:t>7.1经济效益分析</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_Toc2991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159</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_Toc140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7.</w:t>
          </w:r>
          <w:r>
            <w:rPr>
              <w:rFonts w:hint="eastAsia" w:ascii="Times New Roman" w:hAnsi="Times New Roman" w:eastAsia="宋体" w:cs="Times New Roman"/>
              <w:caps w:val="0"/>
              <w:sz w:val="24"/>
              <w:highlight w:val="none"/>
              <w:lang w:val="en-US" w:eastAsia="zh-CN"/>
            </w:rPr>
            <w:t>2</w:t>
          </w:r>
          <w:r>
            <w:rPr>
              <w:rFonts w:ascii="Times New Roman" w:hAnsi="Times New Roman" w:eastAsia="宋体" w:cs="Times New Roman"/>
              <w:caps w:val="0"/>
              <w:sz w:val="24"/>
              <w:highlight w:val="none"/>
            </w:rPr>
            <w:t>社会效益</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_Toc140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159</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_Toc11382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7.</w:t>
          </w:r>
          <w:r>
            <w:rPr>
              <w:rFonts w:hint="eastAsia" w:ascii="Times New Roman" w:hAnsi="Times New Roman" w:eastAsia="宋体" w:cs="Times New Roman"/>
              <w:caps w:val="0"/>
              <w:sz w:val="24"/>
              <w:highlight w:val="none"/>
              <w:lang w:val="en-US" w:eastAsia="zh-CN"/>
            </w:rPr>
            <w:t>3</w:t>
          </w:r>
          <w:r>
            <w:rPr>
              <w:rFonts w:ascii="Times New Roman" w:hAnsi="Times New Roman" w:eastAsia="宋体" w:cs="Times New Roman"/>
              <w:caps w:val="0"/>
              <w:sz w:val="24"/>
              <w:highlight w:val="none"/>
            </w:rPr>
            <w:t>环境效益</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_Toc11382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159</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_Toc3045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7.</w:t>
          </w:r>
          <w:r>
            <w:rPr>
              <w:rFonts w:hint="eastAsia" w:ascii="Times New Roman" w:hAnsi="Times New Roman" w:eastAsia="宋体" w:cs="Times New Roman"/>
              <w:caps w:val="0"/>
              <w:sz w:val="24"/>
              <w:highlight w:val="none"/>
              <w:lang w:val="en-US" w:eastAsia="zh-CN"/>
            </w:rPr>
            <w:t>4</w:t>
          </w:r>
          <w:r>
            <w:rPr>
              <w:rFonts w:ascii="Times New Roman" w:hAnsi="Times New Roman" w:eastAsia="宋体" w:cs="Times New Roman"/>
              <w:caps w:val="0"/>
              <w:sz w:val="24"/>
              <w:highlight w:val="none"/>
            </w:rPr>
            <w:t>环保投资估算</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_Toc3045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_Toc31744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8环境管理和环境监测计划</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_Toc31744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_Toc6310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8.1环境管理</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_Toc6310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_Toc24181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8.2污染物排放清单及管理要求</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_Toc24181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162</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_Toc27682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8.3环境监测及排污口规范化管理</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_Toc27682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165</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_Toc11245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8.4环保设施验收建议</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_Toc11245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168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_Toc10573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9评价结论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_Toc10573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_Toc26838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9.1建设项目的建设概况</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_Toc26838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_Toc31148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9.2评价区环境质量现状评价结论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_Toc31148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171</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_Toc24070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9.3污染物排放情况</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_Toc24070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172</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_Toc26891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9.4环境保护措施</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_Toc26891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173</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_Toc26874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9.5环境影响评价结论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_Toc26874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174</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_Toc7462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w:t>
          </w:r>
          <w:r>
            <w:rPr>
              <w:rFonts w:hint="eastAsia" w:ascii="Times New Roman" w:hAnsi="Times New Roman" w:eastAsia="宋体" w:cs="Times New Roman"/>
              <w:caps w:val="0"/>
              <w:sz w:val="24"/>
              <w:highlight w:val="none"/>
              <w:lang w:val="en-US" w:eastAsia="zh-CN"/>
            </w:rPr>
            <w:t>6</w:t>
          </w:r>
          <w:r>
            <w:rPr>
              <w:rFonts w:ascii="Times New Roman" w:hAnsi="Times New Roman" w:eastAsia="宋体" w:cs="Times New Roman"/>
              <w:caps w:val="0"/>
              <w:sz w:val="24"/>
              <w:highlight w:val="none"/>
            </w:rPr>
            <w:t>清洁生产评价结论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_Toc7462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_Toc17742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w:t>
          </w:r>
          <w:r>
            <w:rPr>
              <w:rFonts w:hint="eastAsia" w:ascii="Times New Roman" w:hAnsi="Times New Roman" w:eastAsia="宋体" w:cs="Times New Roman"/>
              <w:caps w:val="0"/>
              <w:sz w:val="24"/>
              <w:highlight w:val="none"/>
              <w:lang w:val="en-US" w:eastAsia="zh-CN"/>
            </w:rPr>
            <w:t>7</w:t>
          </w:r>
          <w:r>
            <w:rPr>
              <w:rFonts w:ascii="Times New Roman" w:hAnsi="Times New Roman" w:eastAsia="宋体" w:cs="Times New Roman"/>
              <w:caps w:val="0"/>
              <w:sz w:val="24"/>
              <w:highlight w:val="none"/>
            </w:rPr>
            <w:t>环境经济损益分析结论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_Toc17742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_Toc4095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w:t>
          </w:r>
          <w:r>
            <w:rPr>
              <w:rFonts w:hint="eastAsia" w:ascii="Times New Roman" w:hAnsi="Times New Roman" w:eastAsia="宋体" w:cs="Times New Roman"/>
              <w:caps w:val="0"/>
              <w:sz w:val="24"/>
              <w:highlight w:val="none"/>
              <w:lang w:val="en-US" w:eastAsia="zh-CN"/>
            </w:rPr>
            <w:t>8</w:t>
          </w:r>
          <w:r>
            <w:rPr>
              <w:rFonts w:ascii="Times New Roman" w:hAnsi="Times New Roman" w:eastAsia="宋体" w:cs="Times New Roman"/>
              <w:caps w:val="0"/>
              <w:sz w:val="24"/>
              <w:highlight w:val="none"/>
            </w:rPr>
            <w:t>环境管理与监测计划</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_Toc4095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_Toc29732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w:t>
          </w:r>
          <w:r>
            <w:rPr>
              <w:rFonts w:hint="eastAsia" w:ascii="Times New Roman" w:hAnsi="Times New Roman" w:eastAsia="宋体" w:cs="Times New Roman"/>
              <w:caps w:val="0"/>
              <w:sz w:val="24"/>
              <w:highlight w:val="none"/>
              <w:lang w:val="en-US" w:eastAsia="zh-CN"/>
            </w:rPr>
            <w:t>9</w:t>
          </w:r>
          <w:r>
            <w:rPr>
              <w:rFonts w:ascii="Times New Roman" w:hAnsi="Times New Roman" w:eastAsia="宋体" w:cs="Times New Roman"/>
              <w:caps w:val="0"/>
              <w:sz w:val="24"/>
              <w:highlight w:val="none"/>
            </w:rPr>
            <w:t>总量控制</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_Toc29732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4"/>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_Toc4602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9.</w:t>
          </w:r>
          <w:r>
            <w:rPr>
              <w:rFonts w:hint="eastAsia" w:ascii="Times New Roman" w:hAnsi="Times New Roman" w:eastAsia="宋体" w:cs="Times New Roman"/>
              <w:caps w:val="0"/>
              <w:sz w:val="24"/>
              <w:highlight w:val="none"/>
              <w:lang w:val="en-US" w:eastAsia="zh-CN"/>
            </w:rPr>
            <w:t>10</w:t>
          </w:r>
          <w:r>
            <w:rPr>
              <w:rFonts w:ascii="Times New Roman" w:hAnsi="Times New Roman" w:eastAsia="宋体" w:cs="Times New Roman"/>
              <w:caps w:val="0"/>
              <w:sz w:val="24"/>
              <w:highlight w:val="none"/>
            </w:rPr>
            <w:t>公众意见采纳情况</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_Toc4602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178</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pStyle w:val="18"/>
            <w:keepNext w:val="0"/>
            <w:keepLines w:val="0"/>
            <w:pageBreakBefore w:val="0"/>
            <w:tabs>
              <w:tab w:val="right" w:leader="dot" w:pos="9410"/>
            </w:tabs>
            <w:kinsoku/>
            <w:wordWrap/>
            <w:overflowPunct/>
            <w:topLinePunct w:val="0"/>
            <w:bidi w:val="0"/>
            <w:adjustRightInd/>
            <w:snapToGrid/>
            <w:spacing w:before="0" w:after="0" w:line="500" w:lineRule="exact"/>
            <w:ind w:left="0" w:right="0" w:firstLine="0" w:firstLineChars="0"/>
            <w:textAlignment w:val="auto"/>
            <w:rPr>
              <w:rFonts w:ascii="Times New Roman" w:hAnsi="Times New Roman" w:eastAsia="宋体" w:cs="Times New Roman"/>
              <w:caps w:val="0"/>
              <w:sz w:val="24"/>
            </w:rPr>
          </w:pP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HYPERLINK \l _Toc21720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highlight w:val="none"/>
            </w:rPr>
            <w:t>总结论</w:t>
          </w:r>
          <w:r>
            <w:rPr>
              <w:rFonts w:ascii="Times New Roman" w:hAnsi="Times New Roman" w:eastAsia="宋体" w:cs="Times New Roman"/>
              <w:caps w:val="0"/>
              <w:sz w:val="24"/>
            </w:rPr>
            <w:tab/>
          </w:r>
          <w:r>
            <w:rPr>
              <w:rFonts w:ascii="Times New Roman" w:hAnsi="Times New Roman" w:eastAsia="宋体" w:cs="Times New Roman"/>
              <w:caps w:val="0"/>
              <w:sz w:val="24"/>
            </w:rPr>
            <w:fldChar w:fldCharType="begin"/>
          </w:r>
          <w:r>
            <w:rPr>
              <w:rFonts w:ascii="Times New Roman" w:hAnsi="Times New Roman" w:eastAsia="宋体" w:cs="Times New Roman"/>
              <w:caps w:val="0"/>
              <w:sz w:val="24"/>
            </w:rPr>
            <w:instrText xml:space="preserve"> PAGEREF _Toc21720 \h </w:instrText>
          </w:r>
          <w:r>
            <w:rPr>
              <w:rFonts w:ascii="Times New Roman" w:hAnsi="Times New Roman" w:eastAsia="宋体" w:cs="Times New Roman"/>
              <w:caps w:val="0"/>
              <w:sz w:val="24"/>
            </w:rPr>
            <w:fldChar w:fldCharType="separate"/>
          </w:r>
          <w:r>
            <w:rPr>
              <w:rFonts w:ascii="Times New Roman" w:hAnsi="Times New Roman" w:eastAsia="宋体" w:cs="Times New Roman"/>
              <w:caps w:val="0"/>
              <w:sz w:val="24"/>
            </w:rPr>
            <w:t>180</w:t>
          </w:r>
          <w:r>
            <w:rPr>
              <w:rFonts w:ascii="Times New Roman" w:hAnsi="Times New Roman" w:eastAsia="宋体" w:cs="Times New Roman"/>
              <w:caps w:val="0"/>
              <w:sz w:val="24"/>
            </w:rPr>
            <w:fldChar w:fldCharType="end"/>
          </w:r>
          <w:r>
            <w:rPr>
              <w:rFonts w:ascii="Times New Roman" w:hAnsi="Times New Roman" w:eastAsia="宋体" w:cs="Times New Roman"/>
              <w:caps w:val="0"/>
              <w:sz w:val="24"/>
            </w:rPr>
            <w:fldChar w:fldCharType="end"/>
          </w:r>
        </w:p>
        <w:p>
          <w:pPr>
            <w:keepNext w:val="0"/>
            <w:keepLines w:val="0"/>
            <w:pageBreakBefore w:val="0"/>
            <w:kinsoku/>
            <w:wordWrap/>
            <w:overflowPunct/>
            <w:topLinePunct w:val="0"/>
            <w:bidi w:val="0"/>
            <w:adjustRightInd/>
            <w:snapToGrid/>
            <w:spacing w:before="0" w:beforeLines="0" w:after="0" w:afterLines="0" w:line="500" w:lineRule="exact"/>
            <w:ind w:left="0" w:right="0" w:firstLine="0" w:firstLineChars="0"/>
            <w:textAlignment w:val="auto"/>
          </w:pPr>
          <w:r>
            <w:rPr>
              <w:rFonts w:ascii="Times New Roman" w:hAnsi="Times New Roman" w:eastAsia="宋体" w:cs="Times New Roman"/>
              <w:caps w:val="0"/>
              <w:sz w:val="24"/>
            </w:rPr>
            <w:fldChar w:fldCharType="end"/>
          </w:r>
          <w:r>
            <w:rPr>
              <w:rFonts w:hint="eastAsia" w:cs="Times New Roman"/>
              <w:caps w:val="0"/>
              <w:sz w:val="24"/>
              <w:lang w:eastAsia="zh-CN"/>
            </w:rPr>
            <w:t>附图及附件：</w:t>
          </w:r>
        </w:p>
      </w:sdtContent>
    </w:sdt>
    <w:p>
      <w:pPr>
        <w:pStyle w:val="2"/>
        <w:keepNext w:val="0"/>
        <w:keepLines w:val="0"/>
        <w:pageBreakBefore w:val="0"/>
        <w:kinsoku/>
        <w:wordWrap/>
        <w:overflowPunct/>
        <w:topLinePunct w:val="0"/>
        <w:bidi w:val="0"/>
        <w:spacing w:before="0" w:beforeLines="0" w:after="0" w:afterLines="0" w:line="500" w:lineRule="exact"/>
        <w:ind w:left="0" w:leftChars="0" w:firstLine="0" w:firstLineChars="0"/>
        <w:jc w:val="both"/>
        <w:outlineLvl w:val="9"/>
        <w:rPr>
          <w:rFonts w:hint="eastAsia" w:ascii="Times New Roman" w:hAnsi="Times New Roman" w:eastAsia="宋体" w:cs="Times New Roman"/>
          <w:b w:val="0"/>
          <w:bCs/>
          <w:caps w:val="0"/>
          <w:smallCaps w:val="0"/>
          <w:color w:val="auto"/>
          <w:spacing w:val="0"/>
          <w:w w:val="100"/>
          <w:position w:val="0"/>
          <w:sz w:val="24"/>
          <w:szCs w:val="24"/>
          <w:highlight w:val="none"/>
          <w:lang w:val="en-US" w:eastAsia="zh-CN"/>
        </w:rPr>
      </w:pPr>
      <w:r>
        <w:rPr>
          <w:rFonts w:hint="eastAsia" w:ascii="Times New Roman" w:hAnsi="Times New Roman" w:eastAsia="宋体" w:cs="Times New Roman"/>
          <w:b w:val="0"/>
          <w:bCs/>
          <w:caps w:val="0"/>
          <w:smallCaps w:val="0"/>
          <w:color w:val="auto"/>
          <w:spacing w:val="0"/>
          <w:w w:val="100"/>
          <w:position w:val="0"/>
          <w:sz w:val="24"/>
          <w:szCs w:val="24"/>
          <w:highlight w:val="none"/>
          <w:lang w:val="en-US" w:eastAsia="zh-CN"/>
        </w:rPr>
        <w:t>附图1：项目地理位置图</w:t>
      </w:r>
      <w:bookmarkEnd w:id="0"/>
    </w:p>
    <w:p>
      <w:pPr>
        <w:pStyle w:val="41"/>
        <w:keepNext w:val="0"/>
        <w:keepLines w:val="0"/>
        <w:pageBreakBefore w:val="0"/>
        <w:widowControl/>
        <w:kinsoku/>
        <w:wordWrap/>
        <w:overflowPunct/>
        <w:topLinePunct w:val="0"/>
        <w:autoSpaceDE/>
        <w:autoSpaceDN/>
        <w:bidi w:val="0"/>
        <w:adjustRightInd/>
        <w:snapToGrid/>
        <w:spacing w:before="0" w:after="0" w:line="500" w:lineRule="exact"/>
        <w:ind w:firstLine="0" w:firstLineChars="0"/>
        <w:jc w:val="left"/>
        <w:textAlignment w:val="auto"/>
        <w:outlineLvl w:val="9"/>
        <w:rPr>
          <w:rFonts w:hint="eastAsia" w:ascii="Times New Roman" w:cs="Times New Roman"/>
          <w:caps w:val="0"/>
          <w:smallCaps w:val="0"/>
          <w:color w:val="auto"/>
          <w:spacing w:val="0"/>
          <w:w w:val="100"/>
          <w:kern w:val="2"/>
          <w:position w:val="0"/>
          <w:sz w:val="24"/>
          <w:szCs w:val="24"/>
          <w:highlight w:val="none"/>
          <w:lang w:val="en-US" w:eastAsia="zh-CN"/>
        </w:rPr>
      </w:pPr>
      <w:bookmarkStart w:id="1" w:name="_Toc2410"/>
      <w:bookmarkStart w:id="2" w:name="_Toc6329"/>
      <w:bookmarkStart w:id="3" w:name="_Toc30221"/>
      <w:bookmarkStart w:id="4" w:name="_Toc24632"/>
      <w:r>
        <w:rPr>
          <w:rFonts w:hint="eastAsia" w:ascii="Times New Roman" w:cs="Times New Roman"/>
          <w:caps w:val="0"/>
          <w:smallCaps w:val="0"/>
          <w:color w:val="auto"/>
          <w:spacing w:val="0"/>
          <w:w w:val="100"/>
          <w:kern w:val="2"/>
          <w:position w:val="0"/>
          <w:sz w:val="24"/>
          <w:szCs w:val="24"/>
          <w:highlight w:val="none"/>
          <w:lang w:eastAsia="zh-CN"/>
        </w:rPr>
        <w:t>附图</w:t>
      </w:r>
      <w:r>
        <w:rPr>
          <w:rFonts w:hint="eastAsia" w:ascii="Times New Roman" w:cs="Times New Roman"/>
          <w:caps w:val="0"/>
          <w:smallCaps w:val="0"/>
          <w:color w:val="auto"/>
          <w:spacing w:val="0"/>
          <w:w w:val="100"/>
          <w:kern w:val="2"/>
          <w:position w:val="0"/>
          <w:sz w:val="24"/>
          <w:szCs w:val="24"/>
          <w:highlight w:val="none"/>
          <w:lang w:val="en-US" w:eastAsia="zh-CN"/>
        </w:rPr>
        <w:t>2：厂区平面布置图</w:t>
      </w:r>
      <w:bookmarkEnd w:id="1"/>
      <w:bookmarkEnd w:id="2"/>
      <w:bookmarkEnd w:id="3"/>
    </w:p>
    <w:bookmarkEnd w:id="4"/>
    <w:p>
      <w:pPr>
        <w:keepNext w:val="0"/>
        <w:keepLines w:val="0"/>
        <w:pageBreakBefore w:val="0"/>
        <w:widowControl w:val="0"/>
        <w:kinsoku/>
        <w:wordWrap/>
        <w:overflowPunct/>
        <w:topLinePunct w:val="0"/>
        <w:autoSpaceDE w:val="0"/>
        <w:autoSpaceDN w:val="0"/>
        <w:bidi w:val="0"/>
        <w:adjustRightInd/>
        <w:snapToGrid/>
        <w:spacing w:before="0" w:after="0" w:line="500" w:lineRule="exact"/>
        <w:ind w:left="0" w:right="0" w:firstLine="0" w:firstLineChars="0"/>
        <w:jc w:val="left"/>
        <w:textAlignment w:val="auto"/>
        <w:outlineLvl w:val="9"/>
        <w:rPr>
          <w:rFonts w:ascii="Times New Roman" w:hAnsi="Times New Roman" w:eastAsia="宋体" w:cs="Times New Roman"/>
          <w:b/>
          <w:color w:val="auto"/>
          <w:spacing w:val="0"/>
          <w:w w:val="100"/>
          <w:position w:val="0"/>
          <w:sz w:val="24"/>
          <w:szCs w:val="24"/>
          <w:highlight w:val="none"/>
        </w:rPr>
      </w:pPr>
      <w:bookmarkStart w:id="5" w:name="_Toc16840"/>
      <w:bookmarkStart w:id="6" w:name="_Toc11671"/>
      <w:bookmarkStart w:id="7" w:name="_Toc21053"/>
      <w:r>
        <w:rPr>
          <w:rFonts w:hint="eastAsia" w:ascii="Times New Roman" w:hAnsi="Times New Roman" w:eastAsia="宋体" w:cs="Times New Roman"/>
          <w:caps w:val="0"/>
          <w:smallCaps w:val="0"/>
          <w:color w:val="auto"/>
          <w:spacing w:val="0"/>
          <w:w w:val="100"/>
          <w:kern w:val="2"/>
          <w:position w:val="0"/>
          <w:sz w:val="24"/>
          <w:szCs w:val="24"/>
          <w:highlight w:val="none"/>
        </w:rPr>
        <w:t>附图</w:t>
      </w:r>
      <w:r>
        <w:rPr>
          <w:rFonts w:hint="eastAsia" w:cs="Times New Roman"/>
          <w:caps w:val="0"/>
          <w:smallCaps w:val="0"/>
          <w:color w:val="auto"/>
          <w:spacing w:val="0"/>
          <w:w w:val="100"/>
          <w:kern w:val="2"/>
          <w:position w:val="0"/>
          <w:sz w:val="24"/>
          <w:szCs w:val="24"/>
          <w:highlight w:val="none"/>
          <w:lang w:val="en-US" w:eastAsia="zh-CN"/>
        </w:rPr>
        <w:t>3</w:t>
      </w:r>
      <w:r>
        <w:rPr>
          <w:rFonts w:hint="eastAsia" w:ascii="Times New Roman" w:hAnsi="Times New Roman" w:eastAsia="宋体" w:cs="Times New Roman"/>
          <w:caps w:val="0"/>
          <w:smallCaps w:val="0"/>
          <w:color w:val="auto"/>
          <w:spacing w:val="0"/>
          <w:w w:val="100"/>
          <w:kern w:val="2"/>
          <w:position w:val="0"/>
          <w:sz w:val="24"/>
          <w:szCs w:val="24"/>
          <w:highlight w:val="none"/>
        </w:rPr>
        <w:t>：大庆市环境管控单元分布图</w:t>
      </w:r>
      <w:bookmarkEnd w:id="5"/>
      <w:bookmarkEnd w:id="6"/>
      <w:bookmarkEnd w:id="7"/>
    </w:p>
    <w:p>
      <w:pPr>
        <w:pStyle w:val="2"/>
        <w:keepNext w:val="0"/>
        <w:keepLines w:val="0"/>
        <w:pageBreakBefore w:val="0"/>
        <w:widowControl w:val="0"/>
        <w:kinsoku/>
        <w:wordWrap/>
        <w:overflowPunct/>
        <w:topLinePunct w:val="0"/>
        <w:autoSpaceDE w:val="0"/>
        <w:autoSpaceDN w:val="0"/>
        <w:bidi w:val="0"/>
        <w:adjustRightInd w:val="0"/>
        <w:snapToGrid/>
        <w:spacing w:before="0" w:beforeLines="0" w:after="0" w:afterLines="0" w:line="500" w:lineRule="exact"/>
        <w:ind w:left="0" w:leftChars="0" w:right="0" w:firstLine="0" w:firstLineChars="0"/>
        <w:jc w:val="both"/>
        <w:textAlignment w:val="auto"/>
        <w:outlineLvl w:val="9"/>
        <w:rPr>
          <w:rFonts w:hint="eastAsia" w:ascii="Times New Roman" w:hAnsi="Times New Roman" w:eastAsia="宋体" w:cs="Times New Roman"/>
          <w:b w:val="0"/>
          <w:bCs/>
          <w:caps w:val="0"/>
          <w:smallCaps w:val="0"/>
          <w:color w:val="auto"/>
          <w:spacing w:val="0"/>
          <w:w w:val="100"/>
          <w:kern w:val="2"/>
          <w:position w:val="0"/>
          <w:sz w:val="24"/>
          <w:szCs w:val="24"/>
          <w:highlight w:val="none"/>
        </w:rPr>
      </w:pPr>
      <w:bookmarkStart w:id="8" w:name="_Toc9108"/>
      <w:bookmarkStart w:id="9" w:name="_Toc7739"/>
      <w:bookmarkStart w:id="10" w:name="_Toc20212"/>
      <w:bookmarkStart w:id="11" w:name="_Toc23076"/>
      <w:bookmarkStart w:id="12" w:name="_Toc17444"/>
      <w:bookmarkStart w:id="13" w:name="_Toc1961"/>
      <w:r>
        <w:rPr>
          <w:rFonts w:hint="eastAsia" w:ascii="Times New Roman" w:hAnsi="Times New Roman" w:eastAsia="宋体" w:cs="Times New Roman"/>
          <w:b w:val="0"/>
          <w:bCs/>
          <w:caps w:val="0"/>
          <w:smallCaps w:val="0"/>
          <w:color w:val="auto"/>
          <w:spacing w:val="0"/>
          <w:w w:val="100"/>
          <w:kern w:val="2"/>
          <w:position w:val="0"/>
          <w:sz w:val="24"/>
          <w:szCs w:val="24"/>
          <w:highlight w:val="none"/>
        </w:rPr>
        <w:t>附图</w:t>
      </w:r>
      <w:r>
        <w:rPr>
          <w:rFonts w:hint="eastAsia" w:ascii="Times New Roman" w:hAnsi="Times New Roman" w:eastAsia="宋体" w:cs="Times New Roman"/>
          <w:b w:val="0"/>
          <w:bCs/>
          <w:caps w:val="0"/>
          <w:smallCaps w:val="0"/>
          <w:color w:val="auto"/>
          <w:spacing w:val="0"/>
          <w:w w:val="100"/>
          <w:kern w:val="2"/>
          <w:position w:val="0"/>
          <w:sz w:val="24"/>
          <w:szCs w:val="24"/>
          <w:highlight w:val="none"/>
          <w:lang w:val="en-US" w:eastAsia="zh-CN"/>
        </w:rPr>
        <w:t>4</w:t>
      </w:r>
      <w:r>
        <w:rPr>
          <w:rFonts w:hint="eastAsia" w:ascii="Times New Roman" w:hAnsi="Times New Roman" w:eastAsia="宋体" w:cs="Times New Roman"/>
          <w:b w:val="0"/>
          <w:bCs/>
          <w:caps w:val="0"/>
          <w:smallCaps w:val="0"/>
          <w:color w:val="auto"/>
          <w:spacing w:val="0"/>
          <w:w w:val="100"/>
          <w:kern w:val="2"/>
          <w:position w:val="0"/>
          <w:sz w:val="24"/>
          <w:szCs w:val="24"/>
          <w:highlight w:val="none"/>
        </w:rPr>
        <w:t>：生态红线的位置关系图</w:t>
      </w:r>
      <w:bookmarkEnd w:id="8"/>
      <w:bookmarkEnd w:id="9"/>
      <w:bookmarkEnd w:id="10"/>
      <w:bookmarkEnd w:id="11"/>
      <w:bookmarkEnd w:id="12"/>
      <w:bookmarkEnd w:id="13"/>
    </w:p>
    <w:p>
      <w:pPr>
        <w:keepNext w:val="0"/>
        <w:keepLines w:val="0"/>
        <w:pageBreakBefore w:val="0"/>
        <w:widowControl w:val="0"/>
        <w:kinsoku/>
        <w:wordWrap/>
        <w:overflowPunct/>
        <w:topLinePunct w:val="0"/>
        <w:autoSpaceDE w:val="0"/>
        <w:autoSpaceDN w:val="0"/>
        <w:bidi w:val="0"/>
        <w:adjustRightInd/>
        <w:snapToGrid/>
        <w:spacing w:before="0" w:after="0" w:line="500" w:lineRule="exact"/>
        <w:ind w:left="0" w:right="0" w:firstLine="0" w:firstLineChars="0"/>
        <w:jc w:val="left"/>
        <w:textAlignment w:val="auto"/>
        <w:outlineLvl w:val="9"/>
        <w:rPr>
          <w:rFonts w:ascii="Times New Roman" w:hAnsi="Times New Roman" w:eastAsia="宋体" w:cs="Times New Roman"/>
          <w:b/>
          <w:color w:val="auto"/>
          <w:spacing w:val="0"/>
          <w:w w:val="100"/>
          <w:position w:val="0"/>
          <w:sz w:val="24"/>
          <w:szCs w:val="24"/>
          <w:highlight w:val="none"/>
        </w:rPr>
      </w:pPr>
      <w:bookmarkStart w:id="14" w:name="_Toc4765"/>
      <w:bookmarkStart w:id="15" w:name="_Toc15423"/>
      <w:bookmarkStart w:id="16" w:name="_Toc13673"/>
      <w:r>
        <w:rPr>
          <w:rFonts w:hint="eastAsia" w:ascii="Times New Roman" w:hAnsi="Times New Roman" w:eastAsia="宋体" w:cs="Times New Roman"/>
          <w:b w:val="0"/>
          <w:bCs/>
          <w:caps w:val="0"/>
          <w:smallCaps w:val="0"/>
          <w:color w:val="auto"/>
          <w:spacing w:val="0"/>
          <w:w w:val="100"/>
          <w:position w:val="0"/>
          <w:sz w:val="24"/>
          <w:szCs w:val="24"/>
          <w:highlight w:val="none"/>
          <w:lang w:val="en-US" w:eastAsia="zh-CN"/>
        </w:rPr>
        <w:t>附图5：土地证明</w:t>
      </w:r>
      <w:bookmarkEnd w:id="14"/>
      <w:bookmarkEnd w:id="15"/>
      <w:bookmarkEnd w:id="16"/>
    </w:p>
    <w:p>
      <w:pPr>
        <w:pStyle w:val="2"/>
        <w:keepNext w:val="0"/>
        <w:keepLines w:val="0"/>
        <w:pageBreakBefore w:val="0"/>
        <w:widowControl w:val="0"/>
        <w:kinsoku/>
        <w:wordWrap/>
        <w:overflowPunct/>
        <w:topLinePunct w:val="0"/>
        <w:autoSpaceDE w:val="0"/>
        <w:autoSpaceDN w:val="0"/>
        <w:bidi w:val="0"/>
        <w:adjustRightInd w:val="0"/>
        <w:snapToGrid/>
        <w:spacing w:before="0" w:beforeLines="0" w:after="0" w:afterLines="0" w:line="500" w:lineRule="exact"/>
        <w:ind w:left="0" w:leftChars="0" w:right="0" w:firstLine="0" w:firstLineChars="0"/>
        <w:jc w:val="both"/>
        <w:textAlignment w:val="auto"/>
        <w:outlineLvl w:val="9"/>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pPr>
      <w:bookmarkStart w:id="17" w:name="_Toc26046"/>
      <w:bookmarkStart w:id="18" w:name="_Toc24392"/>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附图6：环境敏感目标</w:t>
      </w:r>
      <w:bookmarkEnd w:id="17"/>
      <w:bookmarkEnd w:id="18"/>
    </w:p>
    <w:p>
      <w:pPr>
        <w:pStyle w:val="2"/>
        <w:keepNext w:val="0"/>
        <w:keepLines w:val="0"/>
        <w:pageBreakBefore w:val="0"/>
        <w:widowControl w:val="0"/>
        <w:kinsoku/>
        <w:wordWrap/>
        <w:overflowPunct/>
        <w:topLinePunct w:val="0"/>
        <w:autoSpaceDE w:val="0"/>
        <w:autoSpaceDN w:val="0"/>
        <w:bidi w:val="0"/>
        <w:adjustRightInd w:val="0"/>
        <w:snapToGrid/>
        <w:spacing w:before="0" w:beforeLines="0" w:after="0" w:afterLines="0" w:line="500" w:lineRule="exact"/>
        <w:ind w:left="0" w:leftChars="0" w:right="0" w:firstLine="0" w:firstLineChars="0"/>
        <w:jc w:val="both"/>
        <w:textAlignment w:val="auto"/>
        <w:outlineLvl w:val="9"/>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pPr>
      <w:bookmarkStart w:id="19" w:name="_Toc23366"/>
      <w:bookmarkStart w:id="20" w:name="_Toc8212"/>
      <w:bookmarkStart w:id="21" w:name="_Toc16579"/>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附件1：企业投资项目备案书</w:t>
      </w:r>
      <w:bookmarkEnd w:id="19"/>
      <w:bookmarkEnd w:id="20"/>
      <w:bookmarkEnd w:id="21"/>
    </w:p>
    <w:p>
      <w:pPr>
        <w:pStyle w:val="2"/>
        <w:keepNext w:val="0"/>
        <w:keepLines w:val="0"/>
        <w:pageBreakBefore w:val="0"/>
        <w:widowControl w:val="0"/>
        <w:kinsoku/>
        <w:wordWrap/>
        <w:overflowPunct/>
        <w:topLinePunct w:val="0"/>
        <w:autoSpaceDE w:val="0"/>
        <w:autoSpaceDN w:val="0"/>
        <w:bidi w:val="0"/>
        <w:adjustRightInd w:val="0"/>
        <w:snapToGrid/>
        <w:spacing w:before="0" w:beforeLines="0" w:after="0" w:afterLines="0" w:line="500" w:lineRule="exact"/>
        <w:ind w:left="0" w:leftChars="0" w:right="0" w:firstLine="0" w:firstLineChars="0"/>
        <w:jc w:val="both"/>
        <w:textAlignment w:val="auto"/>
        <w:outlineLvl w:val="9"/>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pPr>
      <w:bookmarkStart w:id="22" w:name="_Toc23902"/>
      <w:bookmarkStart w:id="23" w:name="_Toc16978"/>
      <w:bookmarkStart w:id="24" w:name="_Toc16485"/>
      <w:bookmarkStart w:id="25" w:name="_Toc6427"/>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附件2：企业营业执照</w:t>
      </w:r>
      <w:bookmarkEnd w:id="22"/>
      <w:bookmarkEnd w:id="23"/>
      <w:bookmarkEnd w:id="24"/>
      <w:bookmarkEnd w:id="25"/>
    </w:p>
    <w:p>
      <w:pPr>
        <w:pStyle w:val="27"/>
        <w:keepNext w:val="0"/>
        <w:keepLines w:val="0"/>
        <w:pageBreakBefore w:val="0"/>
        <w:kinsoku/>
        <w:wordWrap/>
        <w:overflowPunct/>
        <w:topLinePunct w:val="0"/>
        <w:bidi w:val="0"/>
        <w:spacing w:before="0" w:after="0" w:line="500" w:lineRule="exact"/>
        <w:ind w:firstLine="0" w:firstLineChars="0"/>
        <w:outlineLvl w:val="9"/>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pPr>
      <w:bookmarkStart w:id="26" w:name="_Toc16828"/>
      <w:bookmarkStart w:id="27" w:name="_Toc17363"/>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附件</w:t>
      </w:r>
      <w:r>
        <w:rPr>
          <w:rFonts w:hint="eastAsia" w:cs="Times New Roman"/>
          <w:b w:val="0"/>
          <w:bCs/>
          <w:caps w:val="0"/>
          <w:smallCaps w:val="0"/>
          <w:color w:val="auto"/>
          <w:spacing w:val="0"/>
          <w:w w:val="100"/>
          <w:kern w:val="0"/>
          <w:position w:val="0"/>
          <w:sz w:val="24"/>
          <w:szCs w:val="24"/>
          <w:highlight w:val="none"/>
          <w:lang w:val="en-US" w:eastAsia="zh-CN" w:bidi="ar-SA"/>
        </w:rPr>
        <w:t>3</w:t>
      </w:r>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：监测报告</w:t>
      </w:r>
      <w:bookmarkEnd w:id="26"/>
      <w:bookmarkEnd w:id="27"/>
    </w:p>
    <w:p>
      <w:pPr>
        <w:pStyle w:val="27"/>
        <w:keepNext w:val="0"/>
        <w:keepLines w:val="0"/>
        <w:pageBreakBefore w:val="0"/>
        <w:kinsoku/>
        <w:wordWrap/>
        <w:overflowPunct/>
        <w:topLinePunct w:val="0"/>
        <w:bidi w:val="0"/>
        <w:spacing w:before="0" w:after="0" w:line="500" w:lineRule="exact"/>
        <w:ind w:firstLine="0" w:firstLineChars="0"/>
        <w:outlineLvl w:val="9"/>
        <w:rPr>
          <w:rFonts w:hint="default"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pPr>
      <w:r>
        <w:rPr>
          <w:rFonts w:hint="eastAsia" w:ascii="Times New Roman" w:hAnsi="Times New Roman" w:eastAsia="宋体" w:cs="Times New Roman"/>
          <w:b w:val="0"/>
          <w:bCs/>
          <w:caps w:val="0"/>
          <w:smallCaps w:val="0"/>
          <w:color w:val="auto"/>
          <w:spacing w:val="0"/>
          <w:w w:val="100"/>
          <w:kern w:val="0"/>
          <w:position w:val="0"/>
          <w:sz w:val="24"/>
          <w:szCs w:val="24"/>
          <w:highlight w:val="none"/>
          <w:lang w:val="en-US" w:eastAsia="zh-CN" w:bidi="ar-SA"/>
        </w:rPr>
        <w:t>附件4：完善环保手续提示函及罚款通知</w:t>
      </w:r>
    </w:p>
    <w:p>
      <w:pPr>
        <w:pStyle w:val="27"/>
        <w:ind w:left="0" w:leftChars="0" w:firstLine="0" w:firstLineChars="0"/>
        <w:sectPr>
          <w:footerReference r:id="rId11" w:type="default"/>
          <w:type w:val="continuous"/>
          <w:pgSz w:w="11911" w:h="16838"/>
          <w:pgMar w:top="1417" w:right="1417" w:bottom="1417" w:left="1417" w:header="0" w:footer="0" w:gutter="0"/>
          <w:paperSrc/>
          <w:pgBorders>
            <w:top w:val="none" w:sz="0" w:space="0"/>
            <w:left w:val="none" w:sz="0" w:space="0"/>
            <w:bottom w:val="none" w:sz="0" w:space="0"/>
            <w:right w:val="none" w:sz="0" w:space="0"/>
          </w:pgBorders>
          <w:cols w:space="0" w:num="1"/>
          <w:rtlGutter w:val="0"/>
          <w:docGrid w:linePitch="0" w:charSpace="0"/>
        </w:sectPr>
      </w:pPr>
    </w:p>
    <w:p>
      <w:pPr>
        <w:pStyle w:val="5"/>
        <w:keepNext/>
        <w:keepLines/>
        <w:autoSpaceDE/>
        <w:autoSpaceDN/>
        <w:bidi w:val="0"/>
        <w:spacing w:before="0" w:after="0" w:line="500" w:lineRule="exact"/>
        <w:ind w:left="0" w:right="0" w:firstLine="0" w:firstLineChars="0"/>
        <w:jc w:val="both"/>
        <w:rPr>
          <w:rFonts w:ascii="Times New Roman" w:hAnsi="Times New Roman" w:cs="Times New Roman"/>
          <w:color w:val="auto"/>
          <w:kern w:val="44"/>
          <w:highlight w:val="none"/>
          <w:lang w:val="en-US" w:bidi="ar-SA"/>
        </w:rPr>
      </w:pPr>
      <w:bookmarkStart w:id="28" w:name="_Toc10809"/>
      <w:r>
        <w:rPr>
          <w:rFonts w:hint="eastAsia" w:ascii="Times New Roman" w:hAnsi="Times New Roman" w:cs="Times New Roman"/>
          <w:color w:val="auto"/>
          <w:kern w:val="44"/>
          <w:highlight w:val="none"/>
          <w:lang w:val="en-US" w:eastAsia="zh-CN" w:bidi="ar-SA"/>
        </w:rPr>
        <w:t>1.</w:t>
      </w:r>
      <w:r>
        <w:rPr>
          <w:rFonts w:ascii="Times New Roman" w:hAnsi="Times New Roman" w:cs="Times New Roman"/>
          <w:color w:val="auto"/>
          <w:kern w:val="44"/>
          <w:highlight w:val="none"/>
          <w:lang w:val="en-US" w:bidi="ar-SA"/>
        </w:rPr>
        <w:t>概述</w:t>
      </w:r>
      <w:bookmarkEnd w:id="28"/>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cs="Times New Roman"/>
          <w:bCs w:val="0"/>
          <w:color w:val="auto"/>
          <w:kern w:val="2"/>
          <w:szCs w:val="20"/>
          <w:highlight w:val="none"/>
          <w:lang w:val="en-US" w:bidi="ar-SA"/>
        </w:rPr>
      </w:pPr>
      <w:bookmarkStart w:id="29" w:name="_bookmark1"/>
      <w:bookmarkEnd w:id="29"/>
      <w:bookmarkStart w:id="30" w:name="_bookmark1"/>
      <w:bookmarkEnd w:id="30"/>
      <w:bookmarkStart w:id="31" w:name="_Toc14118"/>
      <w:r>
        <w:rPr>
          <w:rFonts w:hint="eastAsia" w:ascii="Times New Roman" w:hAnsi="Times New Roman" w:cs="Times New Roman"/>
          <w:bCs w:val="0"/>
          <w:color w:val="auto"/>
          <w:kern w:val="2"/>
          <w:szCs w:val="20"/>
          <w:highlight w:val="none"/>
          <w:lang w:val="en-US" w:eastAsia="zh-CN" w:bidi="ar-SA"/>
        </w:rPr>
        <w:t>1.1</w:t>
      </w:r>
      <w:r>
        <w:rPr>
          <w:rFonts w:hint="eastAsia" w:ascii="Times New Roman" w:hAnsi="Times New Roman" w:cs="Times New Roman"/>
          <w:bCs w:val="0"/>
          <w:color w:val="auto"/>
          <w:kern w:val="2"/>
          <w:szCs w:val="20"/>
          <w:highlight w:val="none"/>
          <w:lang w:val="en-US" w:bidi="ar-SA"/>
        </w:rPr>
        <w:t>建设项目特点</w:t>
      </w:r>
      <w:bookmarkEnd w:id="31"/>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cs="Times New Roman"/>
          <w:bCs w:val="0"/>
          <w:szCs w:val="20"/>
          <w:lang w:val="en-US" w:bidi="ar-SA"/>
        </w:rPr>
      </w:pPr>
      <w:bookmarkStart w:id="32" w:name="_bookmark2"/>
      <w:bookmarkEnd w:id="32"/>
      <w:bookmarkStart w:id="33" w:name="_bookmark2"/>
      <w:bookmarkEnd w:id="33"/>
      <w:bookmarkStart w:id="34" w:name="_Toc24936"/>
      <w:bookmarkStart w:id="35" w:name="_Toc2084"/>
      <w:r>
        <w:rPr>
          <w:rFonts w:hint="eastAsia" w:ascii="Times New Roman" w:hAnsi="Times New Roman" w:cs="Times New Roman"/>
          <w:bCs w:val="0"/>
          <w:szCs w:val="20"/>
          <w:lang w:val="en-US" w:eastAsia="zh-CN" w:bidi="ar-SA"/>
        </w:rPr>
        <w:t>1.1.1</w:t>
      </w:r>
      <w:r>
        <w:rPr>
          <w:rFonts w:ascii="Times New Roman" w:hAnsi="Times New Roman" w:cs="Times New Roman"/>
          <w:bCs w:val="0"/>
          <w:szCs w:val="20"/>
          <w:lang w:val="en-US" w:bidi="ar-SA"/>
        </w:rPr>
        <w:t>项目背景</w:t>
      </w:r>
      <w:bookmarkEnd w:id="34"/>
    </w:p>
    <w:p>
      <w:pPr>
        <w:bidi w:val="0"/>
        <w:rPr>
          <w:rFonts w:hint="eastAsia"/>
          <w:color w:val="auto"/>
          <w:lang w:val="en-US" w:eastAsia="zh-CN"/>
        </w:rPr>
      </w:pPr>
      <w:r>
        <w:rPr>
          <w:rFonts w:hint="eastAsia"/>
          <w:color w:val="auto"/>
          <w:lang w:val="en-US" w:eastAsia="zh-CN"/>
        </w:rPr>
        <w:t>大庆市李氏纸业制造有限责任公司成立于2005年，建设地点位于黑龙江大同经济开发区纸业园区。原有项目以漂白针叶木浆及白纸边为原料，生产中高档生活用纸，项目总投资490万元，建设4台1575型纸机及配套的浆水循环系统等，年产生活用纸10000t/a。大庆市李氏纸业制造有限责任公司《10000吨/年生活用纸建设项目环境影响报告书》于2007年10月9日取得大庆市大同区环境保护局环评批复（同环建字[2007]3号），2008年10月，委托大庆市环境监测中心站进行竣工环保验收监测，编制了《大庆市李氏纸业制造有限责任公司10000t/a生活用纸建设项目竣工环境保护验收监测报告》，并通过大同区环境保护局验收。</w:t>
      </w:r>
    </w:p>
    <w:p>
      <w:pPr>
        <w:bidi w:val="0"/>
        <w:rPr>
          <w:color w:val="auto"/>
        </w:rPr>
      </w:pPr>
      <w:r>
        <w:rPr>
          <w:rFonts w:hint="eastAsia"/>
          <w:color w:val="auto"/>
          <w:lang w:val="en-US" w:eastAsia="zh-CN"/>
        </w:rPr>
        <w:t>后期，由于产品市场销售不好，企业经营不善，导致企业生活用纸产品滞销。为维持企业的生存和发展，2012年，</w:t>
      </w:r>
      <w:r>
        <w:rPr>
          <w:rFonts w:hint="eastAsia"/>
          <w:color w:val="auto"/>
          <w:lang w:eastAsia="zh-CN"/>
        </w:rPr>
        <w:t>大庆市李氏纸业制造有限责任公司</w:t>
      </w:r>
      <w:r>
        <w:rPr>
          <w:rFonts w:hint="eastAsia"/>
          <w:color w:val="auto"/>
          <w:lang w:val="en-US" w:eastAsia="zh-CN"/>
        </w:rPr>
        <w:t>决定调整产品生产方案，将原有的4台1575型纸机更换为2台3500型纸机，将原有6t/h燃煤锅炉改为6t/h生物质锅炉，其他生产设施及辅助工程不变，项目改造后，以漂白针叶木浆和木浆成份纸板为原料生产</w:t>
      </w:r>
      <w:r>
        <w:rPr>
          <w:rFonts w:hint="eastAsia" w:ascii="Times New Roman" w:hAnsi="Times New Roman" w:eastAsia="宋体" w:cs="Times New Roman"/>
          <w:color w:val="auto"/>
          <w:highlight w:val="none"/>
          <w:lang w:val="en-US" w:eastAsia="zh-CN"/>
        </w:rPr>
        <w:t>薄页纸、特种纸</w:t>
      </w:r>
      <w:r>
        <w:rPr>
          <w:rFonts w:hint="eastAsia"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纸板</w:t>
      </w:r>
      <w:r>
        <w:rPr>
          <w:rFonts w:hint="eastAsia"/>
          <w:color w:val="auto"/>
          <w:lang w:val="en-US" w:eastAsia="zh-CN"/>
        </w:rPr>
        <w:t>，年生产</w:t>
      </w:r>
      <w:r>
        <w:rPr>
          <w:rFonts w:hint="default"/>
          <w:color w:val="auto"/>
          <w:lang w:val="en-US" w:eastAsia="zh-CN"/>
        </w:rPr>
        <w:t>1</w:t>
      </w:r>
      <w:r>
        <w:rPr>
          <w:rFonts w:hint="eastAsia"/>
          <w:color w:val="auto"/>
          <w:lang w:val="en-US" w:eastAsia="zh-CN"/>
        </w:rPr>
        <w:t>0</w:t>
      </w:r>
      <w:r>
        <w:rPr>
          <w:rFonts w:hint="default"/>
          <w:color w:val="auto"/>
          <w:lang w:val="en-US" w:eastAsia="zh-CN"/>
        </w:rPr>
        <w:t>000t</w:t>
      </w:r>
      <w:r>
        <w:rPr>
          <w:rFonts w:hint="eastAsia"/>
          <w:color w:val="auto"/>
          <w:lang w:val="en-US" w:eastAsia="zh-CN"/>
        </w:rPr>
        <w:t>。改造后的项目，未办理环评手续。</w:t>
      </w:r>
    </w:p>
    <w:p>
      <w:pPr>
        <w:bidi w:val="0"/>
        <w:rPr>
          <w:rFonts w:hint="eastAsia"/>
          <w:color w:val="auto"/>
          <w:lang w:val="en-US" w:eastAsia="zh-CN"/>
        </w:rPr>
      </w:pPr>
      <w:r>
        <w:rPr>
          <w:rFonts w:hint="eastAsia"/>
          <w:color w:val="auto"/>
          <w:lang w:val="en-US" w:eastAsia="zh-CN"/>
        </w:rPr>
        <w:t>2021年12月20日，大庆市大同区生态环境局下发了《关于完善造纸企业环保手续的函》，要求大庆市李氏纸业制造有限责任公司尽快完善环保手续，在环保手续完善之前，不允许从事任何生产行为。目前企业已停产整改，至今未有投产。</w:t>
      </w:r>
    </w:p>
    <w:p>
      <w:pPr>
        <w:bidi w:val="0"/>
        <w:rPr>
          <w:rFonts w:hint="eastAsia"/>
          <w:color w:val="auto"/>
          <w:lang w:val="en-US" w:eastAsia="zh-CN"/>
        </w:rPr>
      </w:pPr>
      <w:r>
        <w:rPr>
          <w:rFonts w:hint="eastAsia"/>
          <w:color w:val="auto"/>
          <w:lang w:val="en-US" w:eastAsia="zh-CN"/>
        </w:rPr>
        <w:t>根据国家产业政策相关规定。</w:t>
      </w:r>
      <w:r>
        <w:rPr>
          <w:rFonts w:hint="default"/>
          <w:color w:val="auto"/>
          <w:lang w:val="en-US" w:eastAsia="zh-CN"/>
        </w:rPr>
        <w:t>①</w:t>
      </w:r>
      <w:r>
        <w:rPr>
          <w:rFonts w:hint="eastAsia"/>
          <w:color w:val="auto"/>
          <w:lang w:val="en-US" w:eastAsia="zh-CN"/>
        </w:rPr>
        <w:t>《产业结构调整指导目录》（2019年本，2021 年修正版），淘汰类，十二轻工中第12条，单条1万吨/年及以下、以废纸为原料的制浆生产线和幅宽在2米及以下并且车速为80米/分以下白板纸、箱板纸及瓦楞纸生产线已淘汰。</w:t>
      </w:r>
      <w:r>
        <w:rPr>
          <w:rFonts w:hint="default"/>
          <w:color w:val="auto"/>
          <w:lang w:val="en-US" w:eastAsia="zh-CN"/>
        </w:rPr>
        <w:t>②</w:t>
      </w:r>
      <w:r>
        <w:rPr>
          <w:rFonts w:hint="eastAsia"/>
          <w:color w:val="auto"/>
          <w:lang w:val="en-US" w:eastAsia="zh-CN"/>
        </w:rPr>
        <w:t>《造纸产业发展政策》（国家发展和改革委员会〔2007〕第 71 号）第四十七条，造纸产业发展要实现规模经济，突出起始规模。新建、扩建制浆项目单条生产线起始规模要求达到：化学木浆年产30万吨、化学机械木浆年产10万吨、化学竹浆年产10万吨、非木浆年产5万吨；新建、扩建造纸项目单条生产线起始规模要求达到：新闻纸年产30万吨、文化用纸年产10万吨、箱纸板和白纸板年产30万吨、其他纸板项目年产10万吨。薄页纸、特种纸及纸板项目以及现有生产线的改造不受规模准入条件限制。</w:t>
      </w:r>
      <w:r>
        <w:rPr>
          <w:rFonts w:hint="default"/>
          <w:color w:val="auto"/>
          <w:lang w:val="en-US" w:eastAsia="zh-CN"/>
        </w:rPr>
        <w:t>③</w:t>
      </w:r>
      <w:r>
        <w:rPr>
          <w:color w:val="auto"/>
        </w:rPr>
        <w:t>《制浆造纸建设项目环境影响评价文件审批原则（试行）》</w:t>
      </w:r>
      <w:r>
        <w:rPr>
          <w:rFonts w:hint="eastAsia"/>
          <w:color w:val="auto"/>
        </w:rPr>
        <w:t>（环办[2015]112号）</w:t>
      </w:r>
      <w:r>
        <w:rPr>
          <w:color w:val="auto"/>
        </w:rPr>
        <w:t>规定：</w:t>
      </w:r>
      <w:r>
        <w:rPr>
          <w:rFonts w:hint="eastAsia"/>
          <w:color w:val="auto"/>
          <w:lang w:eastAsia="zh-CN"/>
        </w:rPr>
        <w:t>“</w:t>
      </w:r>
      <w:r>
        <w:rPr>
          <w:color w:val="auto"/>
        </w:rPr>
        <w:t>新建、扩建项目应位于产业园区，并符合园区规划及规划环境影响评价要求</w:t>
      </w:r>
      <w:r>
        <w:rPr>
          <w:rFonts w:hint="eastAsia"/>
          <w:color w:val="auto"/>
          <w:lang w:eastAsia="zh-CN"/>
        </w:rPr>
        <w:t>”</w:t>
      </w:r>
      <w:r>
        <w:rPr>
          <w:color w:val="auto"/>
        </w:rPr>
        <w:t>。</w:t>
      </w:r>
    </w:p>
    <w:p>
      <w:pPr>
        <w:bidi w:val="0"/>
        <w:rPr>
          <w:rFonts w:hint="eastAsia"/>
          <w:color w:val="auto"/>
          <w:lang w:val="en-US" w:eastAsia="zh-CN"/>
        </w:rPr>
      </w:pPr>
      <w:r>
        <w:rPr>
          <w:rFonts w:hint="eastAsia"/>
          <w:color w:val="auto"/>
          <w:lang w:val="en-US" w:eastAsia="zh-CN"/>
        </w:rPr>
        <w:t>依据上述国家产业政策及行业发展规定，以及大庆市生态环境局及其环保专家意见要求，</w:t>
      </w:r>
      <w:r>
        <w:rPr>
          <w:color w:val="auto"/>
        </w:rPr>
        <w:t>在原有环评审批产能不增加的情况下，开展技术改造环评。改造升级后产品只能是薄页纸、特种用纸（金融、建材、电气电力、微电子、国防、通讯、食品、医疗等所需要的功能性用纸）及纸板。</w:t>
      </w:r>
      <w:r>
        <w:rPr>
          <w:rFonts w:hint="eastAsia"/>
          <w:color w:val="auto"/>
          <w:lang w:val="en-US" w:eastAsia="zh-CN"/>
        </w:rPr>
        <w:t>本项目</w:t>
      </w:r>
      <w:r>
        <w:rPr>
          <w:rFonts w:hint="eastAsia"/>
          <w:color w:val="auto"/>
          <w:lang w:eastAsia="zh-CN"/>
        </w:rPr>
        <w:t>在现有厂址</w:t>
      </w:r>
      <w:r>
        <w:rPr>
          <w:rFonts w:hint="eastAsia"/>
          <w:color w:val="auto"/>
          <w:lang w:val="en-US" w:eastAsia="zh-CN"/>
        </w:rPr>
        <w:t>对原有设备</w:t>
      </w:r>
      <w:r>
        <w:rPr>
          <w:rFonts w:hint="eastAsia"/>
          <w:color w:val="auto"/>
          <w:lang w:eastAsia="zh-CN"/>
        </w:rPr>
        <w:t>进行技术改造，以</w:t>
      </w:r>
      <w:r>
        <w:rPr>
          <w:rFonts w:hint="eastAsia"/>
          <w:color w:val="auto"/>
          <w:lang w:val="en-US" w:eastAsia="zh-CN"/>
        </w:rPr>
        <w:t>漂白针叶木浆和木浆成份纸板为原料，年生产薄页纸、特种用纸、纸板</w:t>
      </w:r>
      <w:r>
        <w:rPr>
          <w:rFonts w:hint="default"/>
          <w:color w:val="auto"/>
          <w:lang w:val="en-US" w:eastAsia="zh-CN"/>
        </w:rPr>
        <w:t>10000t/a</w:t>
      </w:r>
      <w:r>
        <w:rPr>
          <w:rFonts w:hint="eastAsia"/>
          <w:color w:val="auto"/>
          <w:lang w:val="en-US" w:eastAsia="zh-CN"/>
        </w:rPr>
        <w:t>，改造前后生产规模不变，不新增建设用地。</w:t>
      </w:r>
    </w:p>
    <w:p>
      <w:pPr>
        <w:bidi w:val="0"/>
        <w:rPr>
          <w:rFonts w:hint="default"/>
          <w:color w:val="auto"/>
        </w:rPr>
      </w:pPr>
      <w:r>
        <w:rPr>
          <w:rFonts w:hint="default"/>
          <w:color w:val="auto"/>
        </w:rPr>
        <w:t>根据《建设项目环境影响评价分类管理名录</w:t>
      </w:r>
      <w:r>
        <w:rPr>
          <w:rFonts w:hint="eastAsia"/>
          <w:color w:val="auto"/>
          <w:lang w:eastAsia="zh-CN"/>
        </w:rPr>
        <w:t>（</w:t>
      </w:r>
      <w:r>
        <w:rPr>
          <w:rFonts w:hint="default"/>
          <w:color w:val="auto"/>
        </w:rPr>
        <w:t>2021年版）》</w:t>
      </w:r>
      <w:r>
        <w:rPr>
          <w:rFonts w:hint="eastAsia"/>
          <w:color w:val="auto"/>
          <w:lang w:eastAsia="zh-CN"/>
        </w:rPr>
        <w:t>（</w:t>
      </w:r>
      <w:r>
        <w:rPr>
          <w:rFonts w:hint="default"/>
          <w:color w:val="auto"/>
        </w:rPr>
        <w:t>部令第16号），本</w:t>
      </w:r>
      <w:r>
        <w:rPr>
          <w:rFonts w:hint="eastAsia"/>
          <w:color w:val="auto"/>
          <w:lang w:eastAsia="zh-CN"/>
        </w:rPr>
        <w:t>次改建</w:t>
      </w:r>
      <w:r>
        <w:rPr>
          <w:rFonts w:hint="default"/>
          <w:color w:val="auto"/>
        </w:rPr>
        <w:t>项目属于第十九、造纸和纸制品业；37纸浆制造221*；造纸222*</w:t>
      </w:r>
      <w:r>
        <w:rPr>
          <w:rFonts w:hint="eastAsia"/>
          <w:color w:val="auto"/>
          <w:lang w:eastAsia="zh-CN"/>
        </w:rPr>
        <w:t>（</w:t>
      </w:r>
      <w:r>
        <w:rPr>
          <w:rFonts w:hint="default"/>
          <w:color w:val="auto"/>
        </w:rPr>
        <w:t>含废纸造纸）</w:t>
      </w:r>
      <w:r>
        <w:rPr>
          <w:rFonts w:hint="eastAsia"/>
          <w:color w:val="auto"/>
          <w:lang w:eastAsia="zh-CN"/>
        </w:rPr>
        <w:t>－</w:t>
      </w:r>
      <w:r>
        <w:rPr>
          <w:rFonts w:hint="default"/>
          <w:color w:val="auto"/>
        </w:rPr>
        <w:t>全部</w:t>
      </w:r>
      <w:r>
        <w:rPr>
          <w:rFonts w:hint="eastAsia"/>
          <w:color w:val="auto"/>
          <w:lang w:eastAsia="zh-CN"/>
        </w:rPr>
        <w:t>（</w:t>
      </w:r>
      <w:r>
        <w:rPr>
          <w:rFonts w:hint="default"/>
          <w:color w:val="auto"/>
        </w:rPr>
        <w:t>手工纸、加工纸制造除外），应编制环境影响报告书。</w:t>
      </w:r>
    </w:p>
    <w:p>
      <w:pPr>
        <w:bidi w:val="0"/>
        <w:rPr>
          <w:rFonts w:hint="default"/>
          <w:color w:val="auto"/>
        </w:rPr>
      </w:pPr>
      <w:r>
        <w:rPr>
          <w:rFonts w:hint="default"/>
          <w:color w:val="auto"/>
        </w:rPr>
        <w:t>受建设单位委托，黑龙江永青环保科技有限公司承担了《大庆市李氏纸业改建项目环境影响报告书》的编制工作。根据《中华人民共和国环境保护法》、《中华人民共和国环境影响评价法》、《建设项目环境保护管理条例》等有关规定的要求，评价单位在接受任务后，派相关技术人员进行了现场踏勘、资料收集调研、模式计算及统计分析，按环境影响评价技术导则、规范和要求，编制完成了本</w:t>
      </w:r>
      <w:r>
        <w:rPr>
          <w:rFonts w:hint="eastAsia"/>
          <w:color w:val="auto"/>
          <w:lang w:eastAsia="zh-CN"/>
        </w:rPr>
        <w:t>次改建</w:t>
      </w:r>
      <w:r>
        <w:rPr>
          <w:rFonts w:hint="default"/>
          <w:color w:val="auto"/>
        </w:rPr>
        <w:t>项目的环境影响报告书。</w:t>
      </w:r>
    </w:p>
    <w:p>
      <w:pPr>
        <w:bidi w:val="0"/>
        <w:rPr>
          <w:rFonts w:hint="eastAsia"/>
          <w:color w:val="auto"/>
          <w:lang w:eastAsia="zh-CN"/>
        </w:rPr>
        <w:sectPr>
          <w:footerReference r:id="rId12"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start="1"/>
          <w:cols w:space="0" w:num="1"/>
          <w:rtlGutter w:val="0"/>
          <w:docGrid w:linePitch="0" w:charSpace="0"/>
        </w:sectPr>
      </w:pPr>
    </w:p>
    <w:p>
      <w:pPr>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
          <w:bCs/>
          <w:color w:val="auto"/>
          <w:sz w:val="28"/>
          <w:szCs w:val="21"/>
          <w:highlight w:val="none"/>
          <w:lang w:val="en-US" w:bidi="ar-SA"/>
        </w:rPr>
      </w:pPr>
      <w:r>
        <w:rPr>
          <w:rFonts w:hint="eastAsia" w:ascii="Times New Roman" w:hAnsi="Times New Roman" w:eastAsia="宋体" w:cs="Times New Roman"/>
          <w:b/>
          <w:bCs/>
          <w:color w:val="auto"/>
          <w:sz w:val="28"/>
          <w:szCs w:val="21"/>
          <w:highlight w:val="none"/>
          <w:lang w:val="en-US" w:eastAsia="zh-CN" w:bidi="ar-SA"/>
        </w:rPr>
        <w:t>1.1.2</w:t>
      </w:r>
      <w:r>
        <w:rPr>
          <w:rFonts w:ascii="Times New Roman" w:hAnsi="Times New Roman" w:eastAsia="宋体" w:cs="Times New Roman"/>
          <w:b/>
          <w:bCs/>
          <w:color w:val="auto"/>
          <w:sz w:val="28"/>
          <w:szCs w:val="21"/>
          <w:highlight w:val="none"/>
          <w:lang w:val="en-US" w:eastAsia="zh-CN" w:bidi="ar-SA"/>
        </w:rPr>
        <w:t>工程特点</w:t>
      </w:r>
      <w:bookmarkEnd w:id="35"/>
    </w:p>
    <w:p>
      <w:pPr>
        <w:bidi w:val="0"/>
        <w:rPr>
          <w:rFonts w:hint="eastAsia" w:ascii="宋体" w:hAnsi="Times New Roman" w:eastAsia="宋体" w:cs="Times New Roman"/>
          <w:color w:val="auto"/>
          <w:highlight w:val="none"/>
          <w:lang w:eastAsia="zh-CN"/>
        </w:rPr>
      </w:pPr>
      <w:r>
        <w:rPr>
          <w:rFonts w:hint="eastAsia"/>
          <w:color w:val="auto"/>
          <w:highlight w:val="none"/>
          <w:lang w:eastAsia="zh-CN"/>
        </w:rPr>
        <w:t>大庆市李氏纸业制造有限责任公司在原址进行项目</w:t>
      </w:r>
      <w:r>
        <w:rPr>
          <w:rFonts w:hint="eastAsia"/>
          <w:color w:val="auto"/>
          <w:highlight w:val="none"/>
          <w:lang w:val="en-US" w:eastAsia="zh-CN"/>
        </w:rPr>
        <w:t>技术改造，不新增占地</w:t>
      </w:r>
      <w:r>
        <w:rPr>
          <w:rFonts w:hint="eastAsia"/>
          <w:color w:val="auto"/>
          <w:highlight w:val="none"/>
          <w:lang w:eastAsia="zh-CN"/>
        </w:rPr>
        <w:t>。项目生产规模不变，</w:t>
      </w:r>
      <w:r>
        <w:rPr>
          <w:rFonts w:hint="eastAsia"/>
          <w:color w:val="auto"/>
          <w:lang w:val="en-US" w:eastAsia="zh-CN"/>
        </w:rPr>
        <w:t>将原有的4台1575型纸机更换为2台3500型纸机，将原有6t/h燃煤锅炉改为6t/h生物质锅炉，水膜式除尘改为袋式除尘，生产废水由原来处理后直排改为处理后全部回用不外排，其他生产设施及辅助工程不变</w:t>
      </w:r>
      <w:r>
        <w:rPr>
          <w:rFonts w:hint="eastAsia"/>
          <w:color w:val="auto"/>
          <w:highlight w:val="none"/>
          <w:lang w:eastAsia="zh-CN"/>
        </w:rPr>
        <w:t>。</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1、生产工艺特点</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本项目</w:t>
      </w:r>
      <w:r>
        <w:rPr>
          <w:rFonts w:hint="eastAsia" w:ascii="宋体" w:hAnsi="Times New Roman" w:eastAsia="宋体" w:cs="Times New Roman"/>
          <w:color w:val="auto"/>
          <w:highlight w:val="none"/>
        </w:rPr>
        <w:t>采用</w:t>
      </w:r>
      <w:r>
        <w:rPr>
          <w:rFonts w:hint="eastAsia"/>
          <w:color w:val="auto"/>
          <w:lang w:val="en-US" w:eastAsia="zh-CN"/>
        </w:rPr>
        <w:t>漂白针叶木浆和木浆成份纸板</w:t>
      </w:r>
      <w:r>
        <w:rPr>
          <w:rFonts w:hint="eastAsia" w:ascii="宋体" w:hAnsi="Times New Roman" w:eastAsia="宋体" w:cs="Times New Roman"/>
          <w:color w:val="auto"/>
          <w:highlight w:val="none"/>
        </w:rPr>
        <w:t>为原料，采用机械法制浆造纸，无化学、生物制浆，无脱墨、漂白工序。本项目实现生产工艺废水零排放，污水处理站采用</w:t>
      </w:r>
      <w:r>
        <w:rPr>
          <w:rFonts w:hint="eastAsia"/>
          <w:color w:val="auto"/>
          <w:sz w:val="24"/>
          <w:highlight w:val="none"/>
        </w:rPr>
        <w:t>气浮+A/O生化+沉淀</w:t>
      </w:r>
      <w:r>
        <w:rPr>
          <w:rFonts w:hint="eastAsia" w:ascii="宋体" w:hAnsi="Times New Roman" w:eastAsia="宋体" w:cs="Times New Roman"/>
          <w:color w:val="auto"/>
          <w:highlight w:val="none"/>
        </w:rPr>
        <w:t>处理工艺。生产过程中产生的工艺废水进入污水处理站处置并达到生产车间回用水要求后全部循环利用，不外排。该生产工艺是目前比较成熟先进、经济合理、环保安全、符合清洁生产的工艺技术，生产过程中生产工艺废水可循环利用，减少污染物的排放。该生产工艺具有反应条件温和、生产易于控制、原料廉价易得、生产成本低、设备投资省、安全性高、三废排放少等优点。</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2、采用严格的环保治理措施</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1</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废气</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本项目运行时产生的废气污染物主要为锅炉燃烧时产生的烟气（二氧化硫、氮氧化物、颗粒物），锅炉燃料为</w:t>
      </w:r>
      <w:r>
        <w:rPr>
          <w:rFonts w:hint="eastAsia" w:ascii="宋体" w:hAnsi="Times New Roman" w:eastAsia="宋体" w:cs="Times New Roman"/>
          <w:color w:val="auto"/>
          <w:highlight w:val="none"/>
          <w:lang w:val="en-US" w:eastAsia="zh-CN"/>
        </w:rPr>
        <w:t>生物质燃料</w:t>
      </w:r>
      <w:r>
        <w:rPr>
          <w:rFonts w:hint="eastAsia" w:ascii="宋体" w:hAnsi="Times New Roman" w:eastAsia="宋体" w:cs="Times New Roman"/>
          <w:color w:val="auto"/>
          <w:highlight w:val="none"/>
        </w:rPr>
        <w:t>，采用低氮燃烧技术</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烟气</w:t>
      </w:r>
      <w:r>
        <w:rPr>
          <w:rFonts w:hint="eastAsia" w:ascii="宋体" w:hAnsi="Times New Roman" w:eastAsia="宋体" w:cs="Times New Roman"/>
          <w:color w:val="auto"/>
          <w:highlight w:val="none"/>
          <w:lang w:val="en-US" w:eastAsia="zh-CN"/>
        </w:rPr>
        <w:t>经袋式除尘器后</w:t>
      </w:r>
      <w:r>
        <w:rPr>
          <w:rFonts w:hint="eastAsia" w:ascii="宋体" w:hAnsi="Times New Roman" w:eastAsia="宋体" w:cs="Times New Roman"/>
          <w:color w:val="auto"/>
          <w:highlight w:val="none"/>
        </w:rPr>
        <w:t xml:space="preserve">由 1 根 </w:t>
      </w:r>
      <w:r>
        <w:rPr>
          <w:rFonts w:hint="eastAsia" w:ascii="宋体" w:hAnsi="Times New Roman" w:eastAsia="宋体" w:cs="Times New Roman"/>
          <w:color w:val="auto"/>
          <w:highlight w:val="none"/>
          <w:lang w:val="en-US" w:eastAsia="zh-CN"/>
        </w:rPr>
        <w:t>35</w:t>
      </w:r>
      <w:r>
        <w:rPr>
          <w:rFonts w:hint="eastAsia" w:ascii="宋体" w:hAnsi="Times New Roman" w:eastAsia="宋体" w:cs="Times New Roman"/>
          <w:color w:val="auto"/>
          <w:highlight w:val="none"/>
        </w:rPr>
        <w:t>m 高排气筒排放。</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污水处理站</w:t>
      </w:r>
      <w:r>
        <w:rPr>
          <w:rFonts w:hint="eastAsia" w:ascii="宋体" w:hAnsi="Times New Roman" w:eastAsia="宋体" w:cs="Times New Roman"/>
          <w:color w:val="auto"/>
          <w:highlight w:val="none"/>
        </w:rPr>
        <w:t>处理废水时会产生恶臭气体（氨气、硫化氢），产生的臭气通过密闭加盖方式减少无组织恶臭气体排放，池体内部上方采用管道连接，通过引风机将恶臭气体引至污水处理站的活性炭箱吸附处理，通过 15m 高排气筒排放。</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2</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废水</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本项目运行时产生的废水主要为造纸生产废水、锅炉排水、地面冲洗废水、员工生活污水。生产废水经</w:t>
      </w:r>
      <w:r>
        <w:rPr>
          <w:rFonts w:hint="eastAsia" w:ascii="宋体" w:hAnsi="Times New Roman" w:eastAsia="宋体" w:cs="Times New Roman"/>
          <w:color w:val="auto"/>
          <w:highlight w:val="none"/>
          <w:lang w:val="en-US" w:eastAsia="zh-CN"/>
        </w:rPr>
        <w:t>污水处理站</w:t>
      </w:r>
      <w:r>
        <w:rPr>
          <w:rFonts w:hint="eastAsia" w:ascii="宋体" w:hAnsi="Times New Roman" w:eastAsia="宋体" w:cs="Times New Roman"/>
          <w:color w:val="auto"/>
          <w:highlight w:val="none"/>
        </w:rPr>
        <w:t>处理后全部回用于生产，不外排；员工生活污水排入防渗</w:t>
      </w:r>
      <w:r>
        <w:rPr>
          <w:rFonts w:hint="eastAsia" w:ascii="宋体" w:hAnsi="Times New Roman" w:eastAsia="宋体" w:cs="Times New Roman"/>
          <w:color w:val="auto"/>
          <w:highlight w:val="none"/>
          <w:lang w:val="en-US" w:eastAsia="zh-CN"/>
        </w:rPr>
        <w:t>旱厕</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定期清掏农用</w:t>
      </w:r>
      <w:r>
        <w:rPr>
          <w:rFonts w:hint="eastAsia" w:ascii="宋体" w:hAnsi="Times New Roman" w:eastAsia="宋体" w:cs="Times New Roman"/>
          <w:color w:val="auto"/>
          <w:highlight w:val="none"/>
        </w:rPr>
        <w:t>。</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3</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固废</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本项目产生的固体废物为一般固废和危险废物，按照“减量化、资源化、无害化”原则处理处置。一般固废主要是</w:t>
      </w:r>
      <w:r>
        <w:rPr>
          <w:rFonts w:hint="eastAsia" w:ascii="Times New Roman" w:hAnsi="Times New Roman" w:cs="Times New Roman"/>
          <w:color w:val="auto"/>
          <w:highlight w:val="none"/>
        </w:rPr>
        <w:t>浆料分离产生的杂质、污水处理站固体废物、燃料灰渣、锅炉炉渣和捕集到的飞灰、废离子交换树脂</w:t>
      </w:r>
      <w:r>
        <w:rPr>
          <w:rFonts w:hint="eastAsia" w:ascii="Times New Roman" w:hAnsi="Times New Roman" w:cs="Times New Roman"/>
          <w:color w:val="auto"/>
          <w:highlight w:val="none"/>
          <w:lang w:eastAsia="zh-CN"/>
        </w:rPr>
        <w:t>，</w:t>
      </w:r>
      <w:r>
        <w:rPr>
          <w:rFonts w:hint="eastAsia" w:ascii="Times New Roman" w:cs="Times New Roman"/>
          <w:color w:val="auto"/>
          <w:highlight w:val="none"/>
          <w:lang w:val="en-US" w:eastAsia="zh-CN"/>
        </w:rPr>
        <w:t>其中</w:t>
      </w:r>
      <w:r>
        <w:rPr>
          <w:rFonts w:hint="eastAsia" w:ascii="Times New Roman" w:hAnsi="Times New Roman" w:cs="Times New Roman"/>
          <w:color w:val="auto"/>
          <w:highlight w:val="none"/>
        </w:rPr>
        <w:t>浆料分离产生的杂质、污水处理站固体废物、燃料灰渣、锅炉炉渣和捕集到的飞灰</w:t>
      </w:r>
      <w:r>
        <w:rPr>
          <w:rFonts w:hint="eastAsia" w:ascii="宋体" w:hAnsi="Times New Roman" w:eastAsia="宋体" w:cs="Times New Roman"/>
          <w:color w:val="auto"/>
          <w:highlight w:val="none"/>
        </w:rPr>
        <w:t>等主要通过</w:t>
      </w:r>
      <w:r>
        <w:rPr>
          <w:rFonts w:hint="eastAsia" w:ascii="宋体" w:hAnsi="Times New Roman" w:eastAsia="宋体" w:cs="Times New Roman"/>
          <w:color w:val="auto"/>
          <w:highlight w:val="none"/>
          <w:lang w:val="en-US" w:eastAsia="zh-CN"/>
        </w:rPr>
        <w:t>集中收集综合</w:t>
      </w:r>
      <w:r>
        <w:rPr>
          <w:rFonts w:hint="eastAsia" w:ascii="宋体" w:hAnsi="Times New Roman" w:eastAsia="宋体" w:cs="Times New Roman"/>
          <w:color w:val="auto"/>
          <w:highlight w:val="none"/>
        </w:rPr>
        <w:t>外售</w:t>
      </w:r>
      <w:r>
        <w:rPr>
          <w:rFonts w:hint="eastAsia" w:ascii="宋体" w:hAnsi="Times New Roman" w:eastAsia="宋体" w:cs="Times New Roman"/>
          <w:color w:val="auto"/>
          <w:highlight w:val="none"/>
          <w:lang w:val="en-US" w:eastAsia="zh-CN"/>
        </w:rPr>
        <w:t>处理</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锅炉软化水系统更换的废离子交换树脂定期由厂家更换回收处置</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危险废物主要为污水处理站废气吸附后产生的废活性炭，设备运行维修保养产生的废机油</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由有资质单位回收处置</w:t>
      </w:r>
      <w:r>
        <w:rPr>
          <w:rFonts w:hint="eastAsia" w:ascii="宋体" w:hAnsi="Times New Roman" w:eastAsia="宋体" w:cs="Times New Roman"/>
          <w:color w:val="auto"/>
          <w:highlight w:val="none"/>
        </w:rPr>
        <w:t>。</w:t>
      </w:r>
    </w:p>
    <w:p>
      <w:pPr>
        <w:pStyle w:val="6"/>
        <w:keepNext/>
        <w:keepLines/>
        <w:autoSpaceDE/>
        <w:autoSpaceDN/>
        <w:bidi w:val="0"/>
        <w:spacing w:before="0" w:after="0" w:line="500" w:lineRule="exact"/>
        <w:ind w:left="0" w:right="0" w:firstLine="0" w:firstLineChars="0"/>
        <w:jc w:val="both"/>
        <w:outlineLvl w:val="1"/>
        <w:rPr>
          <w:rFonts w:ascii="Times New Roman" w:hAnsi="Times New Roman" w:cs="Times New Roman"/>
          <w:bCs w:val="0"/>
          <w:color w:val="auto"/>
          <w:kern w:val="2"/>
          <w:szCs w:val="20"/>
          <w:highlight w:val="none"/>
          <w:lang w:val="en-US" w:bidi="ar-SA"/>
        </w:rPr>
      </w:pPr>
      <w:bookmarkStart w:id="36" w:name="_bookmark4"/>
      <w:bookmarkEnd w:id="36"/>
      <w:bookmarkStart w:id="37" w:name="_bookmark4"/>
      <w:bookmarkEnd w:id="37"/>
      <w:bookmarkStart w:id="38" w:name="_Toc22538"/>
      <w:r>
        <w:rPr>
          <w:rFonts w:hint="eastAsia" w:ascii="Times New Roman" w:hAnsi="Times New Roman" w:cs="Times New Roman"/>
          <w:bCs w:val="0"/>
          <w:color w:val="auto"/>
          <w:kern w:val="2"/>
          <w:szCs w:val="20"/>
          <w:highlight w:val="none"/>
          <w:lang w:val="en-US" w:eastAsia="zh-CN" w:bidi="ar-SA"/>
        </w:rPr>
        <w:t>1.2</w:t>
      </w:r>
      <w:r>
        <w:rPr>
          <w:rFonts w:ascii="Times New Roman" w:hAnsi="Times New Roman" w:cs="Times New Roman"/>
          <w:bCs w:val="0"/>
          <w:color w:val="auto"/>
          <w:kern w:val="2"/>
          <w:szCs w:val="20"/>
          <w:highlight w:val="none"/>
          <w:lang w:val="en-US" w:bidi="ar-SA"/>
        </w:rPr>
        <w:t>环境影响评价工作过程</w:t>
      </w:r>
      <w:bookmarkEnd w:id="38"/>
    </w:p>
    <w:p>
      <w:pPr>
        <w:bidi w:val="0"/>
        <w:rPr>
          <w:rFonts w:hint="eastAsia"/>
          <w:color w:val="auto"/>
          <w:highlight w:val="none"/>
          <w:lang w:eastAsia="zh-CN"/>
        </w:rPr>
      </w:pPr>
      <w:r>
        <w:rPr>
          <w:rFonts w:hint="eastAsia"/>
          <w:color w:val="auto"/>
          <w:highlight w:val="none"/>
        </w:rPr>
        <w:t>根据《中华人民共和国环境影响评价法》、《建设项目环境保护管理条例》和《建设项目环境影响评价分类管理名录》（20</w:t>
      </w:r>
      <w:r>
        <w:rPr>
          <w:rFonts w:hint="eastAsia"/>
          <w:color w:val="auto"/>
          <w:highlight w:val="none"/>
          <w:lang w:val="en-US" w:eastAsia="zh-CN"/>
        </w:rPr>
        <w:t>21</w:t>
      </w:r>
      <w:r>
        <w:rPr>
          <w:rFonts w:hint="eastAsia"/>
          <w:color w:val="auto"/>
          <w:highlight w:val="none"/>
        </w:rPr>
        <w:t>年）等国家关于实行建设项目环境影响评价制度和管理要求，</w:t>
      </w:r>
      <w:r>
        <w:rPr>
          <w:rFonts w:hint="eastAsia"/>
          <w:color w:val="auto"/>
          <w:highlight w:val="none"/>
          <w:lang w:eastAsia="zh-CN"/>
        </w:rPr>
        <w:t>大庆市李氏纸业制造有限责任公司</w:t>
      </w:r>
      <w:r>
        <w:rPr>
          <w:rFonts w:hint="eastAsia"/>
          <w:color w:val="auto"/>
          <w:highlight w:val="none"/>
        </w:rPr>
        <w:t>委托</w:t>
      </w:r>
      <w:r>
        <w:rPr>
          <w:rFonts w:hint="eastAsia"/>
          <w:color w:val="auto"/>
          <w:highlight w:val="none"/>
          <w:lang w:eastAsia="zh-CN"/>
        </w:rPr>
        <w:t>黑龙江永青</w:t>
      </w:r>
      <w:r>
        <w:rPr>
          <w:rFonts w:hint="eastAsia"/>
          <w:color w:val="auto"/>
          <w:highlight w:val="none"/>
        </w:rPr>
        <w:t>环保科技有限公司承担该建设项目环境影响评价工作</w:t>
      </w:r>
      <w:r>
        <w:rPr>
          <w:rFonts w:hint="eastAsia"/>
          <w:color w:val="auto"/>
          <w:highlight w:val="none"/>
          <w:lang w:eastAsia="zh-CN"/>
        </w:rPr>
        <w:t>。</w:t>
      </w:r>
    </w:p>
    <w:p>
      <w:pPr>
        <w:bidi w:val="0"/>
        <w:rPr>
          <w:rFonts w:hint="eastAsia"/>
          <w:color w:val="auto"/>
          <w:highlight w:val="none"/>
        </w:rPr>
      </w:pPr>
      <w:r>
        <w:rPr>
          <w:rFonts w:hint="eastAsia"/>
          <w:color w:val="auto"/>
          <w:highlight w:val="none"/>
        </w:rPr>
        <w:t>评价单位接受委托后，立即组织有关技术人员收集资料、现场踏勘、走访调查，根据建设项目的建设内容，通过环境现状调查及监测、工程分析、选用模式预测计算和类比调查分析等方法，定量或定性分析建设项目运营后，对评价区自然生态环境（水环境、大气环境、声环境、土壤环境和生态环境等）存在的潜在的、不利或有利影响范围和程度，同时对建设项目环保措施的可行性进行论证，编制完成了《</w:t>
      </w:r>
      <w:r>
        <w:rPr>
          <w:rFonts w:hint="eastAsia"/>
          <w:color w:val="auto"/>
          <w:highlight w:val="none"/>
          <w:lang w:eastAsia="zh-CN"/>
        </w:rPr>
        <w:t>大庆市大同区李氏纸业改建项目</w:t>
      </w:r>
      <w:r>
        <w:rPr>
          <w:rFonts w:hint="eastAsia"/>
          <w:color w:val="auto"/>
          <w:highlight w:val="none"/>
        </w:rPr>
        <w:t>环境影响报告书》（</w:t>
      </w:r>
      <w:r>
        <w:rPr>
          <w:rFonts w:hint="eastAsia"/>
          <w:color w:val="auto"/>
          <w:highlight w:val="none"/>
          <w:lang w:eastAsia="zh-CN"/>
        </w:rPr>
        <w:t>报</w:t>
      </w:r>
      <w:r>
        <w:rPr>
          <w:rFonts w:hint="eastAsia"/>
          <w:color w:val="auto"/>
          <w:highlight w:val="none"/>
        </w:rPr>
        <w:t>审本）的编制工作。本项目环评工作程序见图 1.2-1。</w:t>
      </w:r>
    </w:p>
    <w:p>
      <w:pPr>
        <w:bidi w:val="0"/>
        <w:rPr>
          <w:rFonts w:hint="eastAsia"/>
          <w:color w:val="auto"/>
          <w:highlight w:val="none"/>
        </w:rPr>
      </w:pPr>
    </w:p>
    <w:p>
      <w:pPr>
        <w:bidi w:val="0"/>
        <w:rPr>
          <w:rFonts w:hint="eastAsia"/>
          <w:color w:val="auto"/>
          <w:highlight w:val="none"/>
        </w:rPr>
      </w:pPr>
    </w:p>
    <w:p>
      <w:pPr>
        <w:tabs>
          <w:tab w:val="right" w:leader="dot" w:pos="8505"/>
        </w:tabs>
        <w:spacing w:line="240" w:lineRule="auto"/>
        <w:jc w:val="both"/>
        <w:rPr>
          <w:rFonts w:hint="eastAsia" w:ascii="Times New Roman" w:hAnsi="Times New Roman" w:eastAsia="宋体" w:cs="Times New Roman"/>
          <w:caps w:val="0"/>
          <w:smallCaps w:val="0"/>
          <w:snapToGrid w:val="0"/>
          <w:color w:val="auto"/>
          <w:spacing w:val="0"/>
          <w:w w:val="99"/>
          <w:position w:val="0"/>
          <w:highlight w:val="none"/>
          <w:lang w:eastAsia="zh-CN"/>
        </w:rPr>
      </w:pPr>
      <w:r>
        <w:rPr>
          <w:rFonts w:hint="eastAsia" w:ascii="Times New Roman" w:hAnsi="Times New Roman" w:eastAsia="宋体" w:cs="Times New Roman"/>
          <w:caps w:val="0"/>
          <w:smallCaps w:val="0"/>
          <w:snapToGrid w:val="0"/>
          <w:color w:val="auto"/>
          <w:spacing w:val="0"/>
          <w:w w:val="99"/>
          <w:position w:val="0"/>
          <w:highlight w:val="none"/>
          <w:lang w:eastAsia="zh-CN"/>
        </w:rPr>
        <w:drawing>
          <wp:inline distT="0" distB="0" distL="114300" distR="114300">
            <wp:extent cx="5257800" cy="7019925"/>
            <wp:effectExtent l="0" t="0" r="0" b="9525"/>
            <wp:docPr id="12" name="图片 1"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图片11"/>
                    <pic:cNvPicPr>
                      <a:picLocks noChangeAspect="1"/>
                    </pic:cNvPicPr>
                  </pic:nvPicPr>
                  <pic:blipFill>
                    <a:blip r:embed="rId21"/>
                    <a:stretch>
                      <a:fillRect/>
                    </a:stretch>
                  </pic:blipFill>
                  <pic:spPr>
                    <a:xfrm>
                      <a:off x="0" y="0"/>
                      <a:ext cx="5257800" cy="7019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highlight w:val="none"/>
        </w:rPr>
      </w:pPr>
      <w:r>
        <w:rPr>
          <w:color w:val="auto"/>
          <w:highlight w:val="none"/>
        </w:rPr>
        <w:t>图1.</w:t>
      </w:r>
      <w:r>
        <w:rPr>
          <w:rFonts w:hint="eastAsia"/>
          <w:color w:val="auto"/>
          <w:highlight w:val="none"/>
          <w:lang w:val="en-US" w:eastAsia="zh-CN"/>
        </w:rPr>
        <w:t>2</w:t>
      </w:r>
      <w:r>
        <w:rPr>
          <w:color w:val="auto"/>
          <w:highlight w:val="none"/>
        </w:rPr>
        <w:t>-1</w:t>
      </w:r>
      <w:r>
        <w:rPr>
          <w:rFonts w:hint="eastAsia"/>
          <w:color w:val="auto"/>
          <w:highlight w:val="none"/>
          <w:lang w:val="en-US" w:eastAsia="zh-CN"/>
        </w:rPr>
        <w:t xml:space="preserve"> </w:t>
      </w:r>
      <w:r>
        <w:rPr>
          <w:color w:val="auto"/>
          <w:highlight w:val="none"/>
        </w:rPr>
        <w:t xml:space="preserve"> 建设项目环境影响评价工作程序</w:t>
      </w:r>
    </w:p>
    <w:p>
      <w:pPr>
        <w:pStyle w:val="11"/>
        <w:keepNext w:val="0"/>
        <w:keepLines w:val="0"/>
        <w:pageBreakBefore w:val="0"/>
        <w:kinsoku/>
        <w:wordWrap/>
        <w:overflowPunct/>
        <w:topLinePunct w:val="0"/>
        <w:bidi w:val="0"/>
        <w:spacing w:before="3" w:line="364" w:lineRule="auto"/>
        <w:ind w:left="0" w:right="368" w:firstLine="479"/>
        <w:jc w:val="both"/>
        <w:textAlignment w:val="auto"/>
        <w:rPr>
          <w:rFonts w:ascii="Times New Roman" w:hAnsi="Times New Roman" w:eastAsia="宋体" w:cs="Times New Roman"/>
          <w:color w:val="auto"/>
          <w:spacing w:val="0"/>
          <w:w w:val="99"/>
          <w:position w:val="0"/>
          <w:highlight w:val="none"/>
        </w:rPr>
      </w:pPr>
    </w:p>
    <w:p>
      <w:pPr>
        <w:rPr>
          <w:rFonts w:ascii="Times New Roman" w:hAnsi="Times New Roman" w:eastAsia="宋体" w:cs="Times New Roman"/>
          <w:b/>
          <w:color w:val="auto"/>
          <w:spacing w:val="0"/>
          <w:w w:val="99"/>
          <w:position w:val="0"/>
          <w:sz w:val="12"/>
          <w:highlight w:val="none"/>
        </w:rPr>
      </w:pPr>
      <w:r>
        <w:rPr>
          <w:rFonts w:ascii="Times New Roman" w:hAnsi="Times New Roman" w:eastAsia="宋体" w:cs="Times New Roman"/>
          <w:b/>
          <w:color w:val="auto"/>
          <w:spacing w:val="0"/>
          <w:w w:val="99"/>
          <w:position w:val="0"/>
          <w:sz w:val="12"/>
          <w:highlight w:val="none"/>
        </w:rPr>
        <w:br w:type="page"/>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eastAsia="zh-CN" w:bidi="ar-SA"/>
        </w:rPr>
      </w:pPr>
      <w:bookmarkStart w:id="39" w:name="_bookmark8"/>
      <w:bookmarkEnd w:id="39"/>
      <w:bookmarkStart w:id="40" w:name="_bookmark8"/>
      <w:bookmarkEnd w:id="40"/>
      <w:bookmarkStart w:id="41" w:name="_Toc3674"/>
      <w:bookmarkStart w:id="42" w:name="_Toc260"/>
      <w:bookmarkStart w:id="43" w:name="_Toc12911"/>
      <w:bookmarkStart w:id="44" w:name="_Toc31037"/>
      <w:bookmarkStart w:id="45" w:name="_Toc18954"/>
      <w:bookmarkStart w:id="46" w:name="_Toc23521"/>
      <w:bookmarkStart w:id="47" w:name="_Toc24869"/>
      <w:r>
        <w:rPr>
          <w:rFonts w:ascii="Times New Roman" w:hAnsi="Times New Roman" w:cs="Times New Roman"/>
          <w:bCs w:val="0"/>
          <w:color w:val="auto"/>
          <w:kern w:val="2"/>
          <w:szCs w:val="20"/>
          <w:highlight w:val="none"/>
          <w:lang w:val="en-US" w:bidi="ar-SA"/>
        </w:rPr>
        <w:t>1.</w:t>
      </w:r>
      <w:bookmarkEnd w:id="41"/>
      <w:bookmarkEnd w:id="42"/>
      <w:bookmarkEnd w:id="43"/>
      <w:bookmarkEnd w:id="44"/>
      <w:bookmarkEnd w:id="45"/>
      <w:r>
        <w:rPr>
          <w:rFonts w:hint="eastAsia" w:ascii="Times New Roman" w:hAnsi="Times New Roman" w:cs="Times New Roman"/>
          <w:bCs w:val="0"/>
          <w:color w:val="auto"/>
          <w:kern w:val="2"/>
          <w:szCs w:val="20"/>
          <w:highlight w:val="none"/>
          <w:lang w:val="en-US" w:eastAsia="zh-CN" w:bidi="ar-SA"/>
        </w:rPr>
        <w:t>3</w:t>
      </w:r>
      <w:r>
        <w:rPr>
          <w:rFonts w:ascii="Times New Roman" w:hAnsi="Times New Roman" w:cs="Times New Roman"/>
          <w:bCs w:val="0"/>
          <w:color w:val="auto"/>
          <w:kern w:val="2"/>
          <w:szCs w:val="20"/>
          <w:highlight w:val="none"/>
          <w:lang w:val="en-US" w:bidi="ar-SA"/>
        </w:rPr>
        <w:t>分析判定相关</w:t>
      </w:r>
      <w:bookmarkEnd w:id="46"/>
      <w:r>
        <w:rPr>
          <w:rFonts w:hint="eastAsia" w:ascii="Times New Roman" w:hAnsi="Times New Roman" w:cs="Times New Roman"/>
          <w:bCs w:val="0"/>
          <w:color w:val="auto"/>
          <w:kern w:val="2"/>
          <w:szCs w:val="20"/>
          <w:highlight w:val="none"/>
          <w:lang w:val="en-US" w:eastAsia="zh-CN" w:bidi="ar-SA"/>
        </w:rPr>
        <w:t>情况</w:t>
      </w:r>
      <w:bookmarkEnd w:id="47"/>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大庆市李氏纸业制造有限责任公司位于</w:t>
      </w:r>
      <w:r>
        <w:rPr>
          <w:rFonts w:hint="eastAsia" w:ascii="Times New Roman" w:cs="Times New Roman"/>
          <w:color w:val="auto"/>
          <w:highlight w:val="none"/>
          <w:lang w:val="en-US" w:eastAsia="zh-CN"/>
        </w:rPr>
        <w:t>黑龙江大同经济开发区纸业园区</w:t>
      </w:r>
      <w:r>
        <w:rPr>
          <w:rFonts w:hint="eastAsia" w:ascii="Times New Roman" w:hAnsi="Times New Roman" w:eastAsia="宋体" w:cs="Times New Roman"/>
          <w:color w:val="auto"/>
          <w:highlight w:val="none"/>
          <w:lang w:val="en-US" w:eastAsia="zh-CN"/>
        </w:rPr>
        <w:t>，本次改建项目在原址进行改造，项目东侧为大庆宏亚纸业有限公司，西侧为福庆纸业有限公司，北侧为德昌伟业化工有限公司，南侧为空地。项目</w:t>
      </w:r>
      <w:r>
        <w:rPr>
          <w:rFonts w:hint="eastAsia" w:cs="Times New Roman"/>
          <w:color w:val="auto"/>
          <w:highlight w:val="none"/>
          <w:lang w:val="en-US" w:eastAsia="zh-CN"/>
        </w:rPr>
        <w:t>生产</w:t>
      </w:r>
      <w:r>
        <w:rPr>
          <w:rFonts w:hint="eastAsia" w:ascii="Times New Roman" w:hAnsi="Times New Roman" w:eastAsia="宋体" w:cs="Times New Roman"/>
          <w:color w:val="auto"/>
          <w:highlight w:val="none"/>
          <w:lang w:val="en-US" w:eastAsia="zh-CN"/>
        </w:rPr>
        <w:t>废水经处理后全部回用不外排。</w:t>
      </w:r>
      <w:r>
        <w:rPr>
          <w:rFonts w:hint="eastAsia" w:cs="Times New Roman"/>
          <w:color w:val="auto"/>
          <w:highlight w:val="none"/>
          <w:lang w:val="en-US" w:eastAsia="zh-CN"/>
        </w:rPr>
        <w:t>生活污水</w:t>
      </w:r>
      <w:r>
        <w:rPr>
          <w:rFonts w:hint="eastAsia" w:cs="Times New Roman"/>
          <w:color w:val="auto"/>
          <w:highlight w:val="none"/>
          <w:lang w:val="zh-CN" w:eastAsia="zh-CN"/>
        </w:rPr>
        <w:t>采取排入防渗旱厕定期清掏堆肥还田</w:t>
      </w:r>
      <w:r>
        <w:rPr>
          <w:rFonts w:hint="eastAsia" w:cs="Times New Roman"/>
          <w:color w:val="auto"/>
          <w:highlight w:val="none"/>
          <w:lang w:val="en-US" w:eastAsia="zh-CN"/>
        </w:rPr>
        <w:t>。</w:t>
      </w:r>
    </w:p>
    <w:p>
      <w:pPr>
        <w:keepNext/>
        <w:keepLines/>
        <w:numPr>
          <w:ilvl w:val="0"/>
          <w:numId w:val="0"/>
        </w:numPr>
        <w:autoSpaceDE/>
        <w:autoSpaceDN/>
        <w:bidi w:val="0"/>
        <w:adjustRightInd w:val="0"/>
        <w:spacing w:before="0" w:after="0" w:line="500" w:lineRule="exact"/>
        <w:ind w:right="0"/>
        <w:jc w:val="both"/>
        <w:outlineLvl w:val="2"/>
        <w:rPr>
          <w:rFonts w:hint="eastAsia" w:ascii="Times New Roman" w:hAnsi="Times New Roman" w:eastAsia="宋体" w:cs="Times New Roman"/>
          <w:b/>
          <w:bCs/>
          <w:color w:val="auto"/>
          <w:sz w:val="28"/>
          <w:szCs w:val="24"/>
          <w:highlight w:val="none"/>
          <w:lang w:val="en-US" w:eastAsia="zh-CN" w:bidi="zh-CN"/>
        </w:rPr>
      </w:pPr>
      <w:bookmarkStart w:id="48" w:name="_Toc22307"/>
      <w:r>
        <w:rPr>
          <w:rFonts w:hint="eastAsia" w:ascii="Times New Roman" w:hAnsi="Times New Roman" w:eastAsia="宋体" w:cs="Times New Roman"/>
          <w:b/>
          <w:bCs/>
          <w:color w:val="auto"/>
          <w:sz w:val="28"/>
          <w:szCs w:val="24"/>
          <w:highlight w:val="none"/>
          <w:lang w:val="en-US" w:eastAsia="zh-CN" w:bidi="zh-CN"/>
        </w:rPr>
        <w:t>1.3.1</w:t>
      </w:r>
      <w:r>
        <w:rPr>
          <w:rFonts w:hint="eastAsia" w:ascii="Times New Roman" w:hAnsi="Times New Roman" w:cs="Times New Roman"/>
          <w:b/>
          <w:bCs/>
          <w:color w:val="auto"/>
          <w:sz w:val="28"/>
          <w:szCs w:val="24"/>
          <w:highlight w:val="none"/>
          <w:lang w:val="en-US" w:eastAsia="zh-CN" w:bidi="zh-CN"/>
        </w:rPr>
        <w:t>项目</w:t>
      </w:r>
      <w:r>
        <w:rPr>
          <w:rFonts w:hint="eastAsia" w:ascii="Times New Roman" w:cs="Times New Roman"/>
          <w:b/>
          <w:bCs/>
          <w:color w:val="auto"/>
          <w:sz w:val="28"/>
          <w:szCs w:val="24"/>
          <w:highlight w:val="none"/>
          <w:lang w:val="en-US" w:eastAsia="zh-CN" w:bidi="zh-CN"/>
        </w:rPr>
        <w:t>符合</w:t>
      </w:r>
      <w:r>
        <w:rPr>
          <w:rFonts w:hint="eastAsia" w:ascii="Times New Roman" w:hAnsi="Times New Roman" w:eastAsia="宋体" w:cs="Times New Roman"/>
          <w:b/>
          <w:bCs/>
          <w:color w:val="auto"/>
          <w:sz w:val="28"/>
          <w:szCs w:val="24"/>
          <w:highlight w:val="none"/>
          <w:lang w:val="en-US" w:eastAsia="zh-CN" w:bidi="zh-CN"/>
        </w:rPr>
        <w:t>性分析</w:t>
      </w:r>
      <w:bookmarkEnd w:id="48"/>
    </w:p>
    <w:p>
      <w:pPr>
        <w:numPr>
          <w:ilvl w:val="0"/>
          <w:numId w:val="0"/>
        </w:numPr>
        <w:bidi w:val="0"/>
        <w:ind w:leftChars="200" w:right="0" w:rightChars="0"/>
        <w:rPr>
          <w:spacing w:val="-2"/>
        </w:rPr>
      </w:pPr>
      <w:r>
        <w:rPr>
          <w:rFonts w:hint="eastAsia"/>
          <w:lang w:val="en-US" w:eastAsia="zh-CN"/>
        </w:rPr>
        <w:t>1、</w:t>
      </w:r>
      <w:r>
        <w:t>与《产业结构调整指导目录（</w:t>
      </w:r>
      <w:r>
        <w:rPr>
          <w:rFonts w:ascii="Times New Roman" w:eastAsia="Times New Roman"/>
        </w:rPr>
        <w:t>2019</w:t>
      </w:r>
      <w:r>
        <w:rPr>
          <w:rFonts w:ascii="Times New Roman" w:eastAsia="Times New Roman"/>
          <w:spacing w:val="-1"/>
        </w:rPr>
        <w:t xml:space="preserve"> </w:t>
      </w:r>
      <w:r>
        <w:t>年本）</w:t>
      </w:r>
      <w:r>
        <w:rPr>
          <w:spacing w:val="-2"/>
        </w:rPr>
        <w:t>》的符合性分析</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根据《产业结构调整指导目录》（2019年本），本项目与《产业结构调整指导目录》符合性分析见下表。</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表1.3.1-1             本项目与《产业结构调整指导目录》符合性</w:t>
      </w:r>
    </w:p>
    <w:tbl>
      <w:tblPr>
        <w:tblStyle w:val="23"/>
        <w:tblW w:w="487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18"/>
        <w:gridCol w:w="2967"/>
        <w:gridCol w:w="4294"/>
        <w:gridCol w:w="87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3" w:hRule="atLeast"/>
        </w:trPr>
        <w:tc>
          <w:tcPr>
            <w:tcW w:w="405" w:type="pct"/>
            <w:tcBorders>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1674" w:type="pct"/>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相关要求</w:t>
            </w:r>
          </w:p>
        </w:tc>
        <w:tc>
          <w:tcPr>
            <w:tcW w:w="2423" w:type="pct"/>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495" w:type="pct"/>
            <w:tcBorders>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95"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67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第三类 淘汰类（十二）轻工 11、单条 1 万吨/年及以下、以废纸为原料的制浆生产线</w:t>
            </w:r>
          </w:p>
        </w:tc>
        <w:tc>
          <w:tcPr>
            <w:tcW w:w="2423"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本项目以漂白针叶木浆和木浆成份纸板为原料，年生产</w:t>
            </w:r>
            <w:r>
              <w:rPr>
                <w:rFonts w:hint="default" w:ascii="Times New Roman" w:hAnsi="Times New Roman" w:eastAsia="宋体" w:cs="Times New Roman"/>
                <w:color w:val="auto"/>
                <w:sz w:val="21"/>
                <w:szCs w:val="21"/>
                <w:highlight w:val="none"/>
                <w:lang w:val="en-US" w:eastAsia="zh-CN"/>
              </w:rPr>
              <w:t>10000t/a</w:t>
            </w:r>
            <w:r>
              <w:rPr>
                <w:rFonts w:hint="eastAsia" w:ascii="Times New Roman" w:hAnsi="Times New Roman" w:eastAsia="宋体" w:cs="Times New Roman"/>
                <w:color w:val="auto"/>
                <w:sz w:val="21"/>
                <w:szCs w:val="21"/>
                <w:highlight w:val="none"/>
                <w:lang w:val="en-US" w:eastAsia="zh-CN"/>
              </w:rPr>
              <w:t>薄页纸、特种用纸、纸板，不属于以废纸为原料的制浆生产线。符合要求。</w:t>
            </w:r>
          </w:p>
        </w:tc>
        <w:tc>
          <w:tcPr>
            <w:tcW w:w="495"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440"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67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第三类 淘汰类（十二）轻工 13、幅宽在 2 米及以下并且车速为 80 米/分以下的白板纸、箱板纸及瓦楞纸生产线</w:t>
            </w:r>
          </w:p>
        </w:tc>
        <w:tc>
          <w:tcPr>
            <w:tcW w:w="2423"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本项目采用</w:t>
            </w:r>
            <w:r>
              <w:rPr>
                <w:rFonts w:hint="eastAsia" w:ascii="Times New Roman" w:hAnsi="Times New Roman" w:eastAsia="宋体" w:cs="Times New Roman"/>
                <w:caps w:val="0"/>
                <w:smallCaps w:val="0"/>
                <w:color w:val="auto"/>
                <w:spacing w:val="0"/>
                <w:w w:val="100"/>
                <w:position w:val="0"/>
                <w:sz w:val="21"/>
                <w:szCs w:val="21"/>
                <w:highlight w:val="none"/>
              </w:rPr>
              <w:t>2台3500型纸机</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宽幅3600mm，抄作定量16-30g/m</w:t>
            </w:r>
            <w:r>
              <w:rPr>
                <w:rFonts w:hint="eastAsia"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rPr>
              <w:t>，车速180-200m/分</w:t>
            </w:r>
            <w:r>
              <w:rPr>
                <w:rFonts w:hint="eastAsia" w:ascii="Times New Roman" w:hAnsi="Times New Roman" w:eastAsia="宋体" w:cs="Times New Roman"/>
                <w:color w:val="auto"/>
                <w:sz w:val="21"/>
                <w:szCs w:val="21"/>
                <w:highlight w:val="none"/>
                <w:lang w:val="en-US" w:eastAsia="zh-CN"/>
              </w:rPr>
              <w:t>。符合要求。</w:t>
            </w:r>
          </w:p>
        </w:tc>
        <w:tc>
          <w:tcPr>
            <w:tcW w:w="495"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14" w:hRule="atLeast"/>
        </w:trPr>
        <w:tc>
          <w:tcPr>
            <w:tcW w:w="405"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67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第三类 淘汰类（十二）轻工 35、QZ101、QZ201、QZ301、QZ401 型切纸机</w:t>
            </w:r>
          </w:p>
        </w:tc>
        <w:tc>
          <w:tcPr>
            <w:tcW w:w="2423"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本项目采用</w:t>
            </w:r>
            <w:r>
              <w:rPr>
                <w:rFonts w:ascii="Times New Roman" w:hAnsi="Times New Roman" w:eastAsia="宋体" w:cs="Times New Roman"/>
                <w:caps w:val="0"/>
                <w:smallCaps w:val="0"/>
                <w:color w:val="auto"/>
                <w:spacing w:val="0"/>
                <w:w w:val="100"/>
                <w:kern w:val="0"/>
                <w:position w:val="0"/>
                <w:sz w:val="21"/>
                <w:szCs w:val="21"/>
                <w:highlight w:val="none"/>
              </w:rPr>
              <w:t>1760型甩刀切纸机</w:t>
            </w:r>
            <w:r>
              <w:rPr>
                <w:rFonts w:hint="eastAsia" w:ascii="Times New Roman" w:hAnsi="Times New Roman" w:eastAsia="宋体" w:cs="Times New Roman"/>
                <w:color w:val="auto"/>
                <w:sz w:val="21"/>
                <w:szCs w:val="21"/>
                <w:highlight w:val="none"/>
                <w:lang w:val="en-US" w:eastAsia="zh-CN"/>
              </w:rPr>
              <w:t>。符合要求。</w:t>
            </w:r>
          </w:p>
        </w:tc>
        <w:tc>
          <w:tcPr>
            <w:tcW w:w="495"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本项目不属于鼓励类项目，也不属于限制类和淘汰类项目，属于允许类建设项目范畴。</w:t>
      </w:r>
    </w:p>
    <w:p>
      <w:pPr>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2、与</w:t>
      </w:r>
      <w:r>
        <w:rPr>
          <w:spacing w:val="-8"/>
        </w:rPr>
        <w:t>《造纸产业发展政策》</w:t>
      </w:r>
      <w:r>
        <w:rPr>
          <w:rFonts w:hint="eastAsia"/>
          <w:spacing w:val="-8"/>
          <w:lang w:val="en-US" w:eastAsia="zh-CN"/>
        </w:rPr>
        <w:t>符合性分析</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根据《造纸产业发展政策》（国家发展和改革委员会〔2007〕第 71 号）第四十七条，造纸产业发展要实现规模经济，突出起始规模。新建、扩建制浆项目单条生产线起始规模要求达到：化学木浆年产30万吨、化学机械木浆年产10万吨、化学竹浆年产10万吨、非木浆年产5万吨；新建、扩建造纸项目单条生产线起始规模要求达到：新闻纸年产30万吨、文化用纸年产10万吨、箱纸板和白纸板年产30万吨、其他纸板项目年产10万吨。薄页纸、特种纸及纸板项目以及现有生产线的改造不受规模准入条件限制。本项目属于现有生产线的改造项目，年生产</w:t>
      </w:r>
      <w:r>
        <w:rPr>
          <w:rFonts w:hint="default" w:ascii="Times New Roman" w:hAnsi="Times New Roman" w:eastAsia="宋体" w:cs="Times New Roman"/>
          <w:color w:val="auto"/>
          <w:highlight w:val="none"/>
          <w:lang w:val="en-US" w:eastAsia="zh-CN"/>
        </w:rPr>
        <w:t>10000t/a</w:t>
      </w:r>
      <w:r>
        <w:rPr>
          <w:rFonts w:hint="eastAsia" w:ascii="Times New Roman" w:hAnsi="Times New Roman" w:eastAsia="宋体" w:cs="Times New Roman"/>
          <w:color w:val="auto"/>
          <w:highlight w:val="none"/>
          <w:lang w:val="en-US" w:eastAsia="zh-CN"/>
        </w:rPr>
        <w:t>薄页纸、特种用纸、纸板，不受规模准入条件限制。</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表1.3.1-2             本项目与《产业结构调整指导目录》符合性</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20"/>
        <w:gridCol w:w="4061"/>
        <w:gridCol w:w="3309"/>
        <w:gridCol w:w="98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397" w:type="pc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2237"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相关要求</w:t>
            </w:r>
          </w:p>
        </w:tc>
        <w:tc>
          <w:tcPr>
            <w:tcW w:w="1823"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541"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60" w:hRule="atLeast"/>
        </w:trPr>
        <w:tc>
          <w:tcPr>
            <w:tcW w:w="397"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23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 18 条因地制宜，合理利用非木纤维资源。原则上不再新建禾木化学浆生产项目。</w:t>
            </w:r>
          </w:p>
        </w:tc>
        <w:tc>
          <w:tcPr>
            <w:tcW w:w="1823"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本项目为改造项目，以漂白针叶木浆和木浆成份纸板为原料，采用物理碎浆调浆、制浆，无化学和生物制浆工艺，符合产业政策要求。</w:t>
            </w:r>
          </w:p>
        </w:tc>
        <w:tc>
          <w:tcPr>
            <w:tcW w:w="541"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1" w:hRule="atLeast"/>
        </w:trPr>
        <w:tc>
          <w:tcPr>
            <w:tcW w:w="397" w:type="pc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237"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 41 条大力推进清洁生产工艺技术，实行清洁生产审核制度。新建制浆造纸项目，必须从源头防止和减少污染物产生，消除或减少厂外治理。现有企业通过技改逐步实现清洁生产，要以水污染治理为重点，采用封闭循环用水、白水回用、中段废水处理及回收、废弃掺烧回收热能、废渣燃料化处理等，加大对废气、废水、废渣的综合治理力度，要采用先进成熟的废水多级生化处理技术，烟气多电场静电除尘技术、废渣资源化处理技术，减少“三废”排放。</w:t>
            </w:r>
          </w:p>
        </w:tc>
        <w:tc>
          <w:tcPr>
            <w:tcW w:w="1823"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本项目属于物理碎浆法，生产废水循环利用，不外排，提高了水资源循环利用率，减少了对水环境的污染，对锅炉烟气、固废进行有效处置和综合利用，减少三废的排放，符合产业政策要求。</w:t>
            </w:r>
          </w:p>
        </w:tc>
        <w:tc>
          <w:tcPr>
            <w:tcW w:w="541"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60" w:hRule="atLeast"/>
        </w:trPr>
        <w:tc>
          <w:tcPr>
            <w:tcW w:w="397"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23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 42 条纸浆造纸废水排放实行许可证管理，严格执行国家和地方排放标准及污染物总量控制指标，全面建设废水排放</w:t>
            </w:r>
            <w:r>
              <w:rPr>
                <w:rFonts w:hint="eastAsia" w:ascii="Times New Roman" w:cs="Times New Roman"/>
                <w:color w:val="auto"/>
                <w:sz w:val="21"/>
                <w:szCs w:val="21"/>
                <w:highlight w:val="none"/>
                <w:lang w:val="en-US" w:eastAsia="zh-CN"/>
              </w:rPr>
              <w:t>在</w:t>
            </w:r>
            <w:r>
              <w:rPr>
                <w:rFonts w:hint="eastAsia" w:ascii="Times New Roman" w:hAnsi="Times New Roman" w:eastAsia="宋体" w:cs="Times New Roman"/>
                <w:color w:val="auto"/>
                <w:sz w:val="21"/>
                <w:szCs w:val="21"/>
                <w:highlight w:val="none"/>
                <w:lang w:val="en-US" w:eastAsia="zh-CN"/>
              </w:rPr>
              <w:t>线监测体系，定期公布废水企业废水排放情况，制定激励政策，鼓励达标企业加大技术改造和工艺改进力度，</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减少水污染物排放。</w:t>
            </w:r>
          </w:p>
        </w:tc>
        <w:tc>
          <w:tcPr>
            <w:tcW w:w="1823"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本项目生产废水经污水处理站后全部回用于生产，不外排，符合产业政策。</w:t>
            </w:r>
          </w:p>
        </w:tc>
        <w:tc>
          <w:tcPr>
            <w:tcW w:w="541"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59" w:hRule="atLeast"/>
        </w:trPr>
        <w:tc>
          <w:tcPr>
            <w:tcW w:w="397" w:type="pc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2237"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造纸产业发展重点：新建、扩建造纸项目单条生产线起始规模要求达到：新闻纸年产 30 万吨、文化用纸年产 10 万吨、箱纸板和白纸板年产 30 万吨、其他纸板项目年产 10 万吨。薄页纸、特种纸及纸板项目以及现有生产线的改造不受规模准入条件限制。</w:t>
            </w:r>
          </w:p>
        </w:tc>
        <w:tc>
          <w:tcPr>
            <w:tcW w:w="1823"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本项目属于现有生产线的改造项目，年生产</w:t>
            </w:r>
            <w:r>
              <w:rPr>
                <w:rFonts w:hint="default" w:ascii="Times New Roman" w:hAnsi="Times New Roman" w:eastAsia="宋体" w:cs="Times New Roman"/>
                <w:color w:val="auto"/>
                <w:sz w:val="21"/>
                <w:szCs w:val="21"/>
                <w:highlight w:val="none"/>
                <w:lang w:val="en-US" w:eastAsia="zh-CN"/>
              </w:rPr>
              <w:t>10000t/a</w:t>
            </w:r>
            <w:r>
              <w:rPr>
                <w:rFonts w:hint="eastAsia" w:ascii="Times New Roman" w:hAnsi="Times New Roman" w:eastAsia="宋体" w:cs="Times New Roman"/>
                <w:color w:val="auto"/>
                <w:sz w:val="21"/>
                <w:szCs w:val="21"/>
                <w:highlight w:val="none"/>
                <w:lang w:val="en-US" w:eastAsia="zh-CN"/>
              </w:rPr>
              <w:t>薄页纸、特种用纸、纸板，不受规模准入条件限制。</w:t>
            </w:r>
          </w:p>
        </w:tc>
        <w:tc>
          <w:tcPr>
            <w:tcW w:w="541"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hint="default" w:eastAsia="宋体"/>
          <w:color w:val="auto"/>
          <w:lang w:val="en-US" w:eastAsia="zh-CN"/>
        </w:rPr>
      </w:pPr>
      <w:r>
        <w:rPr>
          <w:rFonts w:hint="eastAsia"/>
          <w:color w:val="auto"/>
          <w:lang w:val="en-US" w:eastAsia="zh-CN"/>
        </w:rPr>
        <w:t>3、与</w:t>
      </w:r>
      <w:r>
        <w:rPr>
          <w:color w:val="auto"/>
        </w:rPr>
        <w:t>《制浆造纸建设项目环境影响评价文件审批原则（试行）》</w:t>
      </w:r>
      <w:r>
        <w:rPr>
          <w:rFonts w:hint="eastAsia"/>
          <w:color w:val="auto"/>
          <w:lang w:val="en-US" w:eastAsia="zh-CN"/>
        </w:rPr>
        <w:t>符合性分析</w:t>
      </w:r>
    </w:p>
    <w:p>
      <w:pPr>
        <w:bidi w:val="0"/>
        <w:rPr>
          <w:rFonts w:hint="eastAsia"/>
          <w:color w:val="auto"/>
          <w:lang w:val="en-US" w:eastAsia="zh-CN"/>
        </w:rPr>
      </w:pPr>
      <w:r>
        <w:rPr>
          <w:color w:val="auto"/>
        </w:rPr>
        <w:t>《制浆造纸建设项目环境影响评价文件审批原则（试行）》</w:t>
      </w:r>
      <w:r>
        <w:rPr>
          <w:rFonts w:hint="eastAsia"/>
          <w:color w:val="auto"/>
        </w:rPr>
        <w:t>（环办[2015]112号）</w:t>
      </w:r>
      <w:r>
        <w:rPr>
          <w:color w:val="auto"/>
        </w:rPr>
        <w:t>规定：</w:t>
      </w:r>
      <w:r>
        <w:rPr>
          <w:rFonts w:hint="eastAsia"/>
          <w:color w:val="auto"/>
          <w:lang w:eastAsia="zh-CN"/>
        </w:rPr>
        <w:t>“</w:t>
      </w:r>
      <w:r>
        <w:rPr>
          <w:color w:val="auto"/>
        </w:rPr>
        <w:t>新建、扩建项目应位于产业园区，并符合园区规划及规划环境影响评价要求</w:t>
      </w:r>
      <w:r>
        <w:rPr>
          <w:rFonts w:hint="eastAsia"/>
          <w:color w:val="auto"/>
          <w:lang w:eastAsia="zh-CN"/>
        </w:rPr>
        <w:t>”</w:t>
      </w:r>
      <w:r>
        <w:rPr>
          <w:color w:val="auto"/>
        </w:rPr>
        <w:t>。</w:t>
      </w:r>
      <w:r>
        <w:rPr>
          <w:rFonts w:hint="eastAsia"/>
          <w:color w:val="auto"/>
          <w:lang w:val="en-US" w:eastAsia="zh-CN"/>
        </w:rPr>
        <w:t>本项目属于现有生产线的改造项目，位于黑龙江大同经济开发区纸业园区，不属于</w:t>
      </w:r>
      <w:r>
        <w:rPr>
          <w:color w:val="auto"/>
        </w:rPr>
        <w:t>新建、扩建项目</w:t>
      </w:r>
      <w:r>
        <w:rPr>
          <w:rFonts w:hint="eastAsia"/>
          <w:color w:val="auto"/>
          <w:lang w:eastAsia="zh-CN"/>
        </w:rPr>
        <w:t>，</w:t>
      </w:r>
      <w:r>
        <w:rPr>
          <w:rFonts w:hint="eastAsia"/>
          <w:color w:val="auto"/>
          <w:lang w:val="en-US" w:eastAsia="zh-CN"/>
        </w:rPr>
        <w:t>符合</w:t>
      </w:r>
      <w:r>
        <w:rPr>
          <w:color w:val="auto"/>
        </w:rPr>
        <w:t>《制浆造纸建设项目环境影响评价文件审批原则（试行）》</w:t>
      </w:r>
      <w:r>
        <w:rPr>
          <w:rFonts w:hint="eastAsia"/>
          <w:color w:val="auto"/>
          <w:lang w:val="en-US" w:eastAsia="zh-CN"/>
        </w:rPr>
        <w:t>要求。</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表1.3.1-3  本项目与</w:t>
      </w:r>
      <w:r>
        <w:rPr>
          <w:color w:val="auto"/>
        </w:rPr>
        <w:t>《制浆造纸建设项目环境影响评价文件审批原则（试行）》</w:t>
      </w:r>
      <w:r>
        <w:rPr>
          <w:rFonts w:hint="eastAsia" w:ascii="Times New Roman" w:hAnsi="Times New Roman" w:eastAsia="宋体" w:cs="Times New Roman"/>
          <w:color w:val="auto"/>
          <w:highlight w:val="none"/>
          <w:lang w:val="en-US" w:eastAsia="zh-CN"/>
        </w:rPr>
        <w:t>符合性</w:t>
      </w:r>
    </w:p>
    <w:tbl>
      <w:tblPr>
        <w:tblStyle w:val="23"/>
        <w:tblW w:w="4995"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34"/>
        <w:gridCol w:w="3835"/>
        <w:gridCol w:w="3516"/>
        <w:gridCol w:w="98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405" w:type="pc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2114"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相关要求</w:t>
            </w:r>
          </w:p>
        </w:tc>
        <w:tc>
          <w:tcPr>
            <w:tcW w:w="1938"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542"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38" w:hRule="atLeast"/>
        </w:trPr>
        <w:tc>
          <w:tcPr>
            <w:tcW w:w="405"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11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第一条本原则适用于以植物（木材、其他植物）或废纸等为原料生产纸浆和以纸浆为原料生产纸张、纸板等产品的制浆，造纸建设项目及其配套的原料林基地工程环境影响评价文件的审批。</w:t>
            </w:r>
          </w:p>
        </w:tc>
        <w:tc>
          <w:tcPr>
            <w:tcW w:w="1938"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本项目为改造项目，以漂白针叶木浆和木浆成份纸板为原料，采用物理破碎制浆造纸，生产薄页纸、特种用纸、纸板，项目符合审批原则。</w:t>
            </w:r>
          </w:p>
        </w:tc>
        <w:tc>
          <w:tcPr>
            <w:tcW w:w="542"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405" w:type="pct"/>
            <w:tcBorders>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114"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第二条项目符合国家环境保护相关法律、法规、政策要求，符合造纸行业相关产业结构调整、落后产能淘汰要求。</w:t>
            </w:r>
          </w:p>
        </w:tc>
        <w:tc>
          <w:tcPr>
            <w:tcW w:w="1938"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本项目符合国家环境保护相关法律、法规、政策要求，符合造纸行业相关产业结构调整、落后产能淘汰要求，见表1.3.2-2。</w:t>
            </w:r>
          </w:p>
        </w:tc>
        <w:tc>
          <w:tcPr>
            <w:tcW w:w="542" w:type="pct"/>
            <w:tcBorders>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三条项目选址符合主体功能区划、环境保护规划、造纸发展规划、城市总体规划、土地利用规划、环境功能区划及其他相关规划要求。原则上避开居民集中区、医院、学校等环境敏感区。不予批准位于自然保护区、风景名胜区、饮用水水源保护区、永久基本农田等环境敏感区的项目和严重缺水地区、城市建成区内的新建、扩建项目。原料林基地工程选址避开了水土流失重点防治区、生态公益林、饮用水水源保护区等环境敏感区域，严重缺水地区禁止建设灌溉型林基地工程。</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技术改造项目，选址位于黑龙江大同经济开发区纸业园区，选址符合主体功能区划、环境保护规划、造纸发展规划、城市总体规划、土地利用规划、环境功能区划及其他相关规划要求。选址周围无居民集中区、医院、学校等环境敏感区，不位于自然保护区、风景名胜区、饮用水水源保护区、永久基本农田等环境敏感区的项目和严重缺水地区、城市建成区内；本项目原料均为外购，无原料林基地工程。</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81"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第四条采用先进适用的技术、工艺和装备，清洁生产水平达到国内同行业清洁生产先进水平。</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本项目清洁生产综合评价指标为二级，属于国内清洁生产先进水平，符合清洁生产要求。</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45"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第五条污染物排放总量满足国家和地方相关要求，有明确的总量、来源及具体的平衡方案，特征污染物排放量满足相应的控制指标要求。</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本项目根据《造纸行业排污许可证申请与核发技术规范》要求对锅炉排放的二氧化硫、氮氧化物、颗粒物进行总量控制。生产废水不外排。</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0" w:hRule="atLeast"/>
        </w:trPr>
        <w:tc>
          <w:tcPr>
            <w:tcW w:w="405"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211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第六条</w:t>
            </w:r>
            <w:r>
              <w:rPr>
                <w:rFonts w:hint="eastAsia" w:ascii="Times New Roman" w:hAnsi="Times New Roman" w:eastAsia="宋体" w:cs="Times New Roman"/>
                <w:color w:val="auto"/>
                <w:sz w:val="21"/>
                <w:szCs w:val="21"/>
                <w:highlight w:val="none"/>
                <w:lang w:val="en-US" w:eastAsia="zh-CN"/>
              </w:rPr>
              <w:tab/>
            </w:r>
            <w:r>
              <w:rPr>
                <w:rFonts w:hint="eastAsia" w:ascii="Times New Roman" w:hAnsi="Times New Roman" w:eastAsia="宋体" w:cs="Times New Roman"/>
                <w:color w:val="auto"/>
                <w:sz w:val="21"/>
                <w:szCs w:val="21"/>
                <w:highlight w:val="none"/>
                <w:lang w:val="en-US" w:eastAsia="zh-CN"/>
              </w:rPr>
              <w:t>污水处理和污泥处置等，密闭收集废气，并采取先进技术妥善处理，减少恶臭和 VOCS 等污染，无组织废气排放，热电站锅炉满足《火电厂大气污染物排放标准》（GB13223）要求，65 蒸吨/小时及以下碱回收炉参照《锅炉大气污染物排放标准》（GB13271）中生物质成型燃料锅炉的排放控制要求执行，其他常规和特征污染物排放满足《大气污染物排放标准， GB16297》、《工业炉窑大气污染物排放标准GB9078》、《恶臭污染物排放标准 GB14554-93》等要求。国家和地方应有严格要求的按期规定执行。</w:t>
            </w:r>
          </w:p>
        </w:tc>
        <w:tc>
          <w:tcPr>
            <w:tcW w:w="1938"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本项目对污水处理站产生的氨气、硫化氢进行加盖密闭、负压收集+活性炭吸附后由 15m 高排气筒排放，污染物排放浓度能够满足《恶臭污染物排放标准》（GB14554-93）相应的排放要求</w:t>
            </w:r>
          </w:p>
        </w:tc>
        <w:tc>
          <w:tcPr>
            <w:tcW w:w="542"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02"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七条强化节水措施，减少新鲜用水量取用地表水，不得挤占生态用水、生活用水、农用农业用水等。废水分类收集、分池处置，优先回用制浆工艺，在地低污染控制浆技术碱法制浆，设置碱回收系统，安发制浆设置木质素提取系统。漂白工艺不得采用元素氯漂白工艺，废水依托园区公共污水处理系统处理的，在场内设置进行预处理站，污染物和特征污染物排放均满足相关标准和纳管要求，排放废水满足《制浆造纸水污染排放标准》（GB3544）要求。采取分区防渗等措施，有效防范对地下水的不利影响。</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由厂区内原有自打井供水，不挤占生态用水、生活用水、农用农业用水；以漂白针叶木浆和木浆成份纸板为原料，采用物理破碎制浆造纸，无漂白工艺。生产废水全部回用生产线。厂区采取分区防渗，硬化地面，并在厂区污水处理站附近设置地下水跟踪监测井。</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5" w:hRule="atLeast"/>
        </w:trPr>
        <w:tc>
          <w:tcPr>
            <w:tcW w:w="405"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211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第八条按照“减量化、资源化、无害化”的原则，对固体废物进行处置处理。固体废物贮存和处置，满足相关污染物控制技术规范和标准要求。</w:t>
            </w:r>
          </w:p>
        </w:tc>
        <w:tc>
          <w:tcPr>
            <w:tcW w:w="1938"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本项目按照“减量化、资源化、无害化”的原则，对固体废物进行处置处理，一般固废集中收集、综合外售，危险废物暂存于危废暂存间，由有资质单位处置，满足相关污染物控制技术规范和标准要求。</w:t>
            </w:r>
          </w:p>
        </w:tc>
        <w:tc>
          <w:tcPr>
            <w:tcW w:w="542"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20"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第九条优化平面布置，优化选用地噪声设备，对高噪声设备采取降噪措施，长期噪声满足《工业企业常见环境噪声排放标准》</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（GB12348）要求。</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生产过程中噪声源主要为碎浆机、磨浆机、造纸机、锅炉、风机、水泵和其他生产设备等，对高噪声设备采取隔声、消声、减振等控制措施，厂界四周噪声满足《工业企业厂界环境噪声排放标准》（GB12348-2008）要求。</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第十条厂区内重大危险源布局合理，提出有效的环境风险防范和应急措施，事故废水有效收集和妥善处理，不直接进入外环境，针对项目可能产生的环境风 险，制定有效的环境风险防范和应急措施，建立项目及区域环境风险防范与应急管理体系，提出疫情期环境风险应急预案编制要求。</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非重大危险源，建设项目环境风险潜势为Ⅰ，环境风险评价等级确定为简单分析。针对本项目涉及的原料、产品，分析本项目各单元的安全监督重点部位、易发生事故环节和可能引发的事故后果及对保护目标的影响程度，并提出防范措施和对策。参照《化工建设项目环境保护设计规范》（GB50483）等国家标准和规范要求，设计有效防止泄漏物质、消防水、污染雨水等扩散至外环境的收集、导流、拦截、降污等环境风险防范设施。本项目根据生产流程各组成部分的特点和火灾危险性，结合地形、风向等条件，将生产线和原料分区集中布置；生产装置区地面应进行硬化措施，其他区域易污染地下水区域采取重点防渗措施；采用耐火等级较好的材料、设置防火间距、设有疏散通道、保持了足够的安全距离；针对事故废水、污水处理站故障等风险情况发生设有一座2500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事故应急池。</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59"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第十一条改扩建项目，全面梳理现有工程存在的环保问题，提出整改措施。</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本项目为技术改造项目，对照现行的《产业结构调整指导目录》（</w:t>
            </w: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年版，2021年修订）、《制浆造纸建设项目环境影响评价文件审批原则</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试行</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污染物排放标准等相关环保政策，原有项目环评中4台1575型纸机属于国家产业政策目录中淘汰设备，6t/h燃煤锅炉不符合国家大气污染防治相关要求，属于淘汰设施。2012年改造将4台1575型纸机更换为2台3500型纸机，燃煤锅炉改为生物质燃料锅炉并配套建设布袋除尘设施。</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1"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第十三条环境质量现状满足环境功能区要求的区 域，项目实施后环境质量应满足功能区要求；环境质量现状不能满足环境功能区要求的区域，进一步强化项目污染防治措施，并提出有效的区域削减措施，改善区域环境质量。</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本项目根据 2022 年大庆市生态环境状况公报数据，及现状补充监测，本项目属于环境质量现状满足环境功能区要求的区域。本项目在落实本报告书的相应污染物防治措施情况下排放污染物对环境质量影响较小，环境质量能够满足功能区要求。</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0" w:hRule="atLeast"/>
        </w:trPr>
        <w:tc>
          <w:tcPr>
            <w:tcW w:w="405" w:type="pct"/>
            <w:tcBorders>
              <w:top w:val="single" w:color="000000" w:sz="6" w:space="0"/>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211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第十五条，按相关规定开展信息公开和公众参与。</w:t>
            </w:r>
          </w:p>
        </w:tc>
        <w:tc>
          <w:tcPr>
            <w:tcW w:w="1938"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本项目根据《环境影响评价公众参与办法》开展信息公开和公众参与。</w:t>
            </w:r>
          </w:p>
        </w:tc>
        <w:tc>
          <w:tcPr>
            <w:tcW w:w="542"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62" w:hRule="atLeast"/>
        </w:trPr>
        <w:tc>
          <w:tcPr>
            <w:tcW w:w="405"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211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第十六条环评文件编制</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规范，符合资质管理规定和环评技术标准要求。</w:t>
            </w:r>
          </w:p>
        </w:tc>
        <w:tc>
          <w:tcPr>
            <w:tcW w:w="1938"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本项目按国家环评文件编制规范要求进行编写。</w:t>
            </w:r>
          </w:p>
        </w:tc>
        <w:tc>
          <w:tcPr>
            <w:tcW w:w="542"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4、与造纸工业污染防治技术政策的符合性分析</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本项目与《造纸工业污染防治技术政策》《环境保护部公告 2017 年第 35 号》的符合性分析见下表。</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表1.3.1-4       本项目与</w:t>
      </w:r>
      <w:r>
        <w:rPr>
          <w:rFonts w:hint="eastAsia" w:ascii="宋体" w:hAnsi="Times New Roman" w:eastAsia="宋体" w:cs="Times New Roman"/>
          <w:color w:val="auto"/>
          <w:highlight w:val="none"/>
        </w:rPr>
        <w:t>《造纸工业污染防治技术政策》</w:t>
      </w:r>
      <w:r>
        <w:rPr>
          <w:rFonts w:hint="eastAsia" w:ascii="宋体" w:hAnsi="Times New Roman" w:eastAsia="宋体" w:cs="Times New Roman"/>
          <w:color w:val="auto"/>
          <w:highlight w:val="none"/>
          <w:lang w:val="en-US" w:eastAsia="zh-CN"/>
        </w:rPr>
        <w:t>符合性</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39"/>
        <w:gridCol w:w="2549"/>
        <w:gridCol w:w="4802"/>
        <w:gridCol w:w="98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407" w:type="pc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1404"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相关要求</w:t>
            </w:r>
          </w:p>
        </w:tc>
        <w:tc>
          <w:tcPr>
            <w:tcW w:w="2645"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541"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407" w:type="pc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40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生产过程污染防控</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（7）制浆造纸过程应采用水分质回用和蒸汽机利用等节能、节水、降耗、清洁生产技术，鼓励采用变频电机、透平机等节能设备。</w:t>
            </w:r>
          </w:p>
        </w:tc>
        <w:tc>
          <w:tcPr>
            <w:tcW w:w="264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本项目生产废水经厂区污水站处理后，全部回用于水利碎浆工段，不外排，生产废水排放符合污染防治技术政策。</w:t>
            </w:r>
          </w:p>
        </w:tc>
        <w:tc>
          <w:tcPr>
            <w:tcW w:w="541"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0" w:hRule="atLeast"/>
        </w:trPr>
        <w:tc>
          <w:tcPr>
            <w:tcW w:w="407"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40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污染治理及综合利用</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（二）大气污染治理：4.纸制品生产废气应据其性质分类收集、分质处理。</w:t>
            </w:r>
          </w:p>
        </w:tc>
        <w:tc>
          <w:tcPr>
            <w:tcW w:w="264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本项目将原有1台6t/h 燃煤锅炉改造为1台6t/h 燃生物质锅炉，经1根35m的排气筒高空排放，烟气中的颗粒物，二氧化硫，氮氧化物，燃气黑度排放浓度均满足《锅炉大气污染物排放标准》（GB13271-2014）标准要求。污水处理站产生废气，通过加盖、密封方式，减少氨、硫化氢、臭气浓度等无组织恶臭气体的逃逸，池体内部上方采用管道连同，再通过引风机将恶臭气体引至污水处理站的废气治理设施，恶臭废气治理措施采用“活性炭吸附+15m 高排气筒”排放，使臭气能够满足《恶臭污染物排放标准》（GB14554-93）标准浓度限值要求。符合污染防治技术政策。</w:t>
            </w:r>
          </w:p>
        </w:tc>
        <w:tc>
          <w:tcPr>
            <w:tcW w:w="541"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41" w:hRule="atLeast"/>
        </w:trPr>
        <w:tc>
          <w:tcPr>
            <w:tcW w:w="407"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40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污染治理及综合利用</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（三）固体废物处理处 置:：木材和非木材备料、废渣等有机固体废物和废纸制浆固体废物不含脱墨污泥，应分类处理后综合利用。</w:t>
            </w:r>
          </w:p>
        </w:tc>
        <w:tc>
          <w:tcPr>
            <w:tcW w:w="264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合格的产品及边角料全部回用于生产，在压力筛、跳筛产生的粗纤维、中度纤维浆渣全部回到水力碎浆工段，符合污染防治技术政策。生活垃圾交由环卫收集后运至大庆龙清生物科技有限公司生活垃圾填埋场卫生填埋。本项目的固废能够百分百做到合理处置，符合污染防治技术要求。</w:t>
            </w:r>
          </w:p>
        </w:tc>
        <w:tc>
          <w:tcPr>
            <w:tcW w:w="541"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79" w:hRule="atLeast"/>
        </w:trPr>
        <w:tc>
          <w:tcPr>
            <w:tcW w:w="407"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40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污染治理及综合利用</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（四）噪声污染防控： 造纸企业应通过合理的生产布局减少对厂界外噪声敏感目标的影响。鼓励采用低噪音设备，对高噪音设备应采取隔音、消音等降噪措施。厂界噪声稳定达到排放标准要求。</w:t>
            </w:r>
          </w:p>
        </w:tc>
        <w:tc>
          <w:tcPr>
            <w:tcW w:w="264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本项目在噪声设备上进行隔震、减震处理。采取上述措施后，噪声源对厂界噪声值影响较小，厂界噪声可以满足《工业企业厂界环境噪声排放标准》（GB12348-2008）3类标准，符合污染防治技术政策。</w:t>
            </w:r>
          </w:p>
        </w:tc>
        <w:tc>
          <w:tcPr>
            <w:tcW w:w="541"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03" w:hRule="atLeast"/>
        </w:trPr>
        <w:tc>
          <w:tcPr>
            <w:tcW w:w="407" w:type="pc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40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四、二次污染防治</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（一）废水处理产生的污泥应脱水浓缩后安全处理处置。（三）造纸厂区应采取分区防渗等措施，有效防范对地下水环境的不利影响。</w:t>
            </w:r>
          </w:p>
        </w:tc>
        <w:tc>
          <w:tcPr>
            <w:tcW w:w="264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本项目污水处理站产生的污泥经脱水后外售砖厂制砖，符合污染防治技术政策。本项目采取分区防渗，重点防渗区为污水处理站、危废暂存间、事故应急池等；一般防渗区为生产车间、机修间、仓库、办公楼等。</w:t>
            </w:r>
          </w:p>
        </w:tc>
        <w:tc>
          <w:tcPr>
            <w:tcW w:w="541"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ascii="宋体" w:hAnsi="Times New Roman" w:eastAsia="宋体" w:cs="Times New Roman"/>
          <w:color w:val="auto"/>
          <w:highlight w:val="none"/>
        </w:rPr>
      </w:pPr>
      <w:r>
        <w:rPr>
          <w:rFonts w:ascii="宋体" w:hAnsi="Times New Roman" w:eastAsia="宋体" w:cs="Times New Roman"/>
          <w:color w:val="auto"/>
          <w:highlight w:val="none"/>
        </w:rPr>
        <w:t>5、与黑龙江省主体功能区规划符合性</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根据《黑龙江省主体功能区规划》（黑政发【2012】29 号，2012 年 4 月 25 日），本项目与关于大庆市在黑龙江省主体功能区规划符合性见下表。</w:t>
      </w:r>
    </w:p>
    <w:p>
      <w:pPr>
        <w:pStyle w:val="12"/>
      </w:pPr>
      <w:r>
        <w:rPr>
          <w:rFonts w:hint="eastAsia" w:ascii="Times New Roman" w:hAnsi="Times New Roman" w:eastAsia="宋体" w:cs="Times New Roman"/>
          <w:color w:val="auto"/>
          <w:highlight w:val="none"/>
          <w:lang w:val="en-US" w:eastAsia="zh-CN"/>
        </w:rPr>
        <w:t>表1.3.1-5       本项目与《黑龙江省主体功能区规划》符合性</w:t>
      </w:r>
    </w:p>
    <w:tbl>
      <w:tblPr>
        <w:tblStyle w:val="23"/>
        <w:tblpPr w:leftFromText="180" w:rightFromText="180" w:vertAnchor="text" w:horzAnchor="page" w:tblpX="1340" w:tblpY="293"/>
        <w:tblOverlap w:val="never"/>
        <w:tblW w:w="499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432"/>
        <w:gridCol w:w="942"/>
        <w:gridCol w:w="5440"/>
        <w:gridCol w:w="226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0" w:hRule="atLeast"/>
        </w:trPr>
        <w:tc>
          <w:tcPr>
            <w:tcW w:w="238" w:type="pct"/>
            <w:tcBorders>
              <w:left w:val="nil"/>
              <w:bottom w:val="single" w:color="000000" w:sz="4"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519" w:type="pct"/>
            <w:tcBorders>
              <w:left w:val="single" w:color="000000" w:sz="6" w:space="0"/>
              <w:bottom w:val="single" w:color="000000" w:sz="4"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类别</w:t>
            </w:r>
          </w:p>
        </w:tc>
        <w:tc>
          <w:tcPr>
            <w:tcW w:w="2996" w:type="pct"/>
            <w:tcBorders>
              <w:left w:val="single" w:color="000000" w:sz="6" w:space="0"/>
              <w:bottom w:val="single" w:color="000000" w:sz="4"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规划对大庆市的要求</w:t>
            </w:r>
          </w:p>
        </w:tc>
        <w:tc>
          <w:tcPr>
            <w:tcW w:w="1245" w:type="pct"/>
            <w:tcBorders>
              <w:left w:val="single" w:color="000000" w:sz="6" w:space="0"/>
              <w:bottom w:val="single" w:color="000000" w:sz="4"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00" w:hRule="atLeast"/>
        </w:trPr>
        <w:tc>
          <w:tcPr>
            <w:tcW w:w="238" w:type="pct"/>
            <w:tcBorders>
              <w:top w:val="single" w:color="000000" w:sz="4" w:space="0"/>
              <w:left w:val="nil"/>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519" w:type="pct"/>
            <w:tcBorders>
              <w:top w:val="single" w:color="000000" w:sz="4" w:space="0"/>
              <w:left w:val="single" w:color="000000" w:sz="6" w:space="0"/>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功能定位</w:t>
            </w:r>
          </w:p>
        </w:tc>
        <w:tc>
          <w:tcPr>
            <w:tcW w:w="2996" w:type="pct"/>
            <w:tcBorders>
              <w:top w:val="single" w:color="000000" w:sz="4" w:space="0"/>
              <w:left w:val="single" w:color="000000" w:sz="6" w:space="0"/>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主要指大庆市辖区，包括萨尔图区、龙凤区、让胡路区、大同区和红岗区。大庆市功能定位为国家重要的石油生产基地、石化产品及精深加工基地、石油石化装备制造基地，新材料和新能源基地、农副产品生产及加工基地，国家服务外包示范基地，国内著名自然生态和旅游城市。</w:t>
            </w:r>
          </w:p>
        </w:tc>
        <w:tc>
          <w:tcPr>
            <w:tcW w:w="1245" w:type="pct"/>
            <w:tcBorders>
              <w:top w:val="single" w:color="000000" w:sz="4" w:space="0"/>
              <w:left w:val="single" w:color="000000" w:sz="6" w:space="0"/>
              <w:bottom w:val="single" w:color="000000" w:sz="4"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本项目位于黑龙江大同经济开发区纸业园区内，符合大庆市功能定位要求。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71" w:hRule="atLeast"/>
        </w:trPr>
        <w:tc>
          <w:tcPr>
            <w:tcW w:w="238" w:type="pct"/>
            <w:tcBorders>
              <w:top w:val="single" w:color="000000" w:sz="4" w:space="0"/>
              <w:left w:val="nil"/>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519" w:type="pct"/>
            <w:tcBorders>
              <w:top w:val="single" w:color="000000" w:sz="4" w:space="0"/>
              <w:left w:val="single" w:color="000000" w:sz="6" w:space="0"/>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产业发展方向及布局</w:t>
            </w:r>
          </w:p>
        </w:tc>
        <w:tc>
          <w:tcPr>
            <w:tcW w:w="2996" w:type="pct"/>
            <w:tcBorders>
              <w:top w:val="single" w:color="000000" w:sz="4" w:space="0"/>
              <w:left w:val="single" w:color="000000" w:sz="6" w:space="0"/>
              <w:bottom w:val="single" w:color="000000" w:sz="4"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庆市重点发展高附加值石油化工、天然气化工等接续产业，发展石化产品及精深加工业、农副产品及食品加工业、石油石化装备制造业、以风电和地热为主的新能源、新材料、服务外包、现代物流和旅游等产业。东部工业集聚区重点发展石油化工、石化产品精深加工、精细化工、电子信息和以高新技术为先导的高端装备制造、汽车等产业；西部工业集聚区重点发展石油化工、天然气化工、石油石化装备制造、机电及汽车、新能源等产业；南部工业集聚区重点发展石油化工、精细化工、生物等产业；庆北现代服务业集聚区以庆北新城为重点，发展商贸物流、休闲旅游、服务外包、文化创意等产业。</w:t>
            </w:r>
          </w:p>
        </w:tc>
        <w:tc>
          <w:tcPr>
            <w:tcW w:w="1245" w:type="pct"/>
            <w:tcBorders>
              <w:top w:val="single" w:color="000000" w:sz="4" w:space="0"/>
              <w:left w:val="single" w:color="000000" w:sz="6" w:space="0"/>
              <w:bottom w:val="single" w:color="000000" w:sz="4"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本项目位于黑龙江大同经济开发区纸业园区</w:t>
            </w:r>
            <w:r>
              <w:rPr>
                <w:rFonts w:hint="eastAsia" w:ascii="Times New Roman" w:cs="Times New Roman"/>
                <w:color w:val="auto"/>
                <w:sz w:val="21"/>
                <w:szCs w:val="21"/>
                <w:highlight w:val="none"/>
                <w:lang w:val="en-US" w:eastAsia="zh-CN"/>
              </w:rPr>
              <w:t>内</w:t>
            </w:r>
            <w:r>
              <w:rPr>
                <w:rFonts w:hint="eastAsia" w:ascii="Times New Roman" w:hAnsi="Times New Roman" w:eastAsia="宋体" w:cs="Times New Roman"/>
                <w:color w:val="auto"/>
                <w:sz w:val="21"/>
                <w:szCs w:val="21"/>
                <w:highlight w:val="none"/>
                <w:lang w:val="en-US" w:eastAsia="zh-CN"/>
              </w:rPr>
              <w:t>，符合大庆市产业发展方向及布局要求。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19" w:hRule="atLeast"/>
        </w:trPr>
        <w:tc>
          <w:tcPr>
            <w:tcW w:w="238" w:type="pct"/>
            <w:tcBorders>
              <w:top w:val="single" w:color="000000" w:sz="4"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19" w:type="pct"/>
            <w:tcBorders>
              <w:top w:val="single" w:color="000000" w:sz="4"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生态建设</w:t>
            </w:r>
          </w:p>
        </w:tc>
        <w:tc>
          <w:tcPr>
            <w:tcW w:w="2996" w:type="pct"/>
            <w:tcBorders>
              <w:top w:val="single" w:color="000000" w:sz="4"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庆市生态建设重点为加强龙凤湿地自然保护区、红旗林场、红旗水库、大庆水库等核心保护区域的保护，推进环境综合整治和泡泽水系治理，建设一批城市污水处理、垃圾处理项目，积极推进资源型城市向生态园林型城市转变。</w:t>
            </w:r>
          </w:p>
        </w:tc>
        <w:tc>
          <w:tcPr>
            <w:tcW w:w="1245" w:type="pct"/>
            <w:tcBorders>
              <w:top w:val="single" w:color="000000" w:sz="4"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本项目位于黑龙江大同经济开发区纸业园区内，本项目为技术改造项目，不新增占地，符合大庆市生态建设要求。</w:t>
            </w:r>
          </w:p>
        </w:tc>
      </w:tr>
    </w:tbl>
    <w:p>
      <w:pPr>
        <w:bidi w:val="0"/>
        <w:rPr>
          <w:rFonts w:ascii="宋体" w:hAnsi="Times New Roman" w:eastAsia="宋体" w:cs="Times New Roman"/>
          <w:color w:val="auto"/>
          <w:highlight w:val="none"/>
        </w:rPr>
      </w:pPr>
      <w:r>
        <w:rPr>
          <w:rFonts w:ascii="宋体" w:hAnsi="Times New Roman" w:eastAsia="宋体" w:cs="Times New Roman"/>
          <w:color w:val="auto"/>
          <w:highlight w:val="none"/>
        </w:rPr>
        <w:t>6、与《中共黑龙江省委关于制定国民经济和社会发展第十四个五年规划和二〇三五年远景目标的建议 》、《大庆市国民经济和社会发展第十四个五年规划和二〇三五年远景目标纲要（庆政发【2021】13 号）》符合性分析</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本项目与省、市的“十四五和 2035 年远景目标”规划相关符合性详见下表。</w:t>
      </w:r>
    </w:p>
    <w:p>
      <w:pPr>
        <w:bidi w:val="0"/>
        <w:rPr>
          <w:rFonts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表1.3.1-6  本项目</w:t>
      </w:r>
      <w:r>
        <w:rPr>
          <w:rFonts w:ascii="宋体" w:hAnsi="Times New Roman" w:eastAsia="宋体" w:cs="Times New Roman"/>
          <w:color w:val="auto"/>
          <w:highlight w:val="none"/>
        </w:rPr>
        <w:t>与第十四个五年规划和</w:t>
      </w:r>
      <w:r>
        <w:rPr>
          <w:rFonts w:hint="eastAsia" w:cs="Times New Roman"/>
          <w:color w:val="auto"/>
          <w:highlight w:val="none"/>
          <w:lang w:eastAsia="zh-CN"/>
        </w:rPr>
        <w:t>二〇</w:t>
      </w:r>
      <w:r>
        <w:rPr>
          <w:rFonts w:ascii="宋体" w:hAnsi="Times New Roman" w:eastAsia="宋体" w:cs="Times New Roman"/>
          <w:color w:val="auto"/>
          <w:highlight w:val="none"/>
        </w:rPr>
        <w:t>三五年远景目标中相关要求符合性分析</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46"/>
        <w:gridCol w:w="982"/>
        <w:gridCol w:w="4344"/>
        <w:gridCol w:w="30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411" w:type="pc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541"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类别</w:t>
            </w:r>
          </w:p>
        </w:tc>
        <w:tc>
          <w:tcPr>
            <w:tcW w:w="2393"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规划要求</w:t>
            </w:r>
          </w:p>
        </w:tc>
        <w:tc>
          <w:tcPr>
            <w:tcW w:w="1653"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161" w:hRule="atLeast"/>
        </w:trPr>
        <w:tc>
          <w:tcPr>
            <w:tcW w:w="411" w:type="pc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54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黑龙江省</w:t>
            </w:r>
          </w:p>
        </w:tc>
        <w:tc>
          <w:tcPr>
            <w:tcW w:w="2393"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“十四五”时期经济社会发展指导思想和 主要目标：持续贯彻落实习近平总书记在深入推进东北振兴座谈会上的重要讲话和对我省 重要讲话重要指示批示精神，坚定不移贯彻新发展理念，坚持稳中求进工作总基调，以推动高质量发展为主题，以深化供给侧结构性改革为主线，以改革创新为根本动力，以满足人民日益增长的美好生活需要为根本目的，统筹发展和安全，自觉全面融入以国内大循环为主 体、国内国际双循环相互促进的新发展格局，着力解放思想，着力建设现代化经济体系，着力推动形成优势互补、高质量发展的区域经济</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布局，着力推动更高水平开放。</w:t>
            </w:r>
          </w:p>
        </w:tc>
        <w:tc>
          <w:tcPr>
            <w:tcW w:w="1653"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本项目为技术改造项目，淘汰落后生产设备，以漂白针叶木浆和木浆成份纸板为原料，采用物理破碎制浆造纸，生产薄页纸、特种用纸、纸板，充分融入国内资源大</w:t>
            </w:r>
            <w:r>
              <w:rPr>
                <w:rFonts w:hint="eastAsia" w:ascii="Times New Roman" w:cs="Times New Roman"/>
                <w:color w:val="auto"/>
                <w:sz w:val="21"/>
                <w:szCs w:val="21"/>
                <w:highlight w:val="none"/>
                <w:lang w:val="en-US" w:eastAsia="zh-CN"/>
              </w:rPr>
              <w:t>循环</w:t>
            </w:r>
            <w:r>
              <w:rPr>
                <w:rFonts w:hint="eastAsia" w:ascii="Times New Roman" w:hAnsi="Times New Roman" w:eastAsia="宋体" w:cs="Times New Roman"/>
                <w:color w:val="auto"/>
                <w:sz w:val="21"/>
                <w:szCs w:val="21"/>
                <w:highlight w:val="none"/>
                <w:lang w:val="en-US" w:eastAsia="zh-CN"/>
              </w:rPr>
              <w:t>发展格局，符合十四个五年规划和</w:t>
            </w:r>
            <w:r>
              <w:rPr>
                <w:rFonts w:hint="eastAsia" w:ascii="Times New Roman" w:cs="Times New Roman"/>
                <w:color w:val="auto"/>
                <w:sz w:val="21"/>
                <w:szCs w:val="21"/>
                <w:highlight w:val="none"/>
                <w:lang w:val="en-US" w:eastAsia="zh-CN"/>
              </w:rPr>
              <w:t>二〇</w:t>
            </w:r>
            <w:r>
              <w:rPr>
                <w:rFonts w:hint="eastAsia" w:ascii="Times New Roman" w:hAnsi="Times New Roman" w:eastAsia="宋体" w:cs="Times New Roman"/>
                <w:color w:val="auto"/>
                <w:sz w:val="21"/>
                <w:szCs w:val="21"/>
                <w:highlight w:val="none"/>
                <w:lang w:val="en-US" w:eastAsia="zh-CN"/>
              </w:rPr>
              <w:t>三五年远景目标要求。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41" w:hRule="atLeast"/>
        </w:trPr>
        <w:tc>
          <w:tcPr>
            <w:tcW w:w="411" w:type="pc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541"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大庆市</w:t>
            </w:r>
          </w:p>
        </w:tc>
        <w:tc>
          <w:tcPr>
            <w:tcW w:w="2393"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十八)倡导绿色生产生活方式。完善政社企废弃物资源化处理协作机制，建设生物质精炼和清洁养殖项目，利用工业余热、废水和化工废料发展循环经济，建设工业资源综合利用基地。倡导节能减排、绿色出行，稳步推进垃圾分类、扩大源头减量，形成节约适度、绿色低碳的生活方式和消费模式。</w:t>
            </w:r>
          </w:p>
        </w:tc>
        <w:tc>
          <w:tcPr>
            <w:tcW w:w="1653"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技术改造项目，淘汰落后生产设备，以漂白针叶木浆和木浆成份纸板为原料，采用物理破碎制浆造纸，生产薄页纸、特种用纸、纸板，将原来生产废水外排方式改为生产废水处理后回用生产，不外排，提高水循环利用率，符合大庆市十四五中倡导绿色生产生活方式，完善了废弃资源化处理协作机制。符合大庆市第十四个五年规划和二O 三五年远景目标。</w:t>
            </w:r>
          </w:p>
        </w:tc>
      </w:tr>
    </w:tbl>
    <w:p>
      <w:pPr>
        <w:bidi w:val="0"/>
        <w:rPr>
          <w:rFonts w:ascii="宋体" w:hAnsi="Times New Roman" w:eastAsia="宋体" w:cs="Times New Roman"/>
          <w:color w:val="auto"/>
          <w:highlight w:val="none"/>
        </w:rPr>
      </w:pPr>
      <w:r>
        <w:rPr>
          <w:rFonts w:ascii="宋体" w:hAnsi="Times New Roman" w:eastAsia="宋体" w:cs="Times New Roman"/>
          <w:color w:val="auto"/>
          <w:highlight w:val="none"/>
        </w:rPr>
        <w:t>7、与黑龙江省“十四五”生态环境保护规划、《大庆市 “十四五”生态环境保护规划》符合性分析</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本项目与《黑龙江省人民政府关于印发黑龙江省“十四五”生态环境保护规划的通知》</w:t>
      </w:r>
    </w:p>
    <w:p>
      <w:pPr>
        <w:bidi w:val="0"/>
        <w:ind w:left="0" w:leftChars="0" w:firstLine="0" w:firstLineChars="0"/>
        <w:rPr>
          <w:rFonts w:ascii="宋体" w:hAnsi="Times New Roman" w:eastAsia="宋体" w:cs="Times New Roman"/>
          <w:color w:val="auto"/>
          <w:highlight w:val="none"/>
        </w:rPr>
      </w:pPr>
      <w:r>
        <w:rPr>
          <w:rFonts w:ascii="宋体" w:hAnsi="Times New Roman" w:eastAsia="宋体" w:cs="Times New Roman"/>
          <w:color w:val="auto"/>
          <w:highlight w:val="none"/>
        </w:rPr>
        <w:t>（黑政规〔2021〕18 号）、《大庆市“十四五”生态环境保护规划》相关符合性，详见下表。</w:t>
      </w:r>
    </w:p>
    <w:p>
      <w:pPr>
        <w:bidi w:val="0"/>
        <w:rPr>
          <w:rFonts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表1.3.1-7  本项目</w:t>
      </w:r>
      <w:r>
        <w:rPr>
          <w:rFonts w:ascii="宋体" w:hAnsi="Times New Roman" w:eastAsia="宋体" w:cs="Times New Roman"/>
          <w:color w:val="auto"/>
          <w:highlight w:val="none"/>
        </w:rPr>
        <w:t>与省“十四五”、市“十四五”生态环境保护规划符合性分析</w:t>
      </w:r>
    </w:p>
    <w:tbl>
      <w:tblPr>
        <w:tblStyle w:val="23"/>
        <w:tblW w:w="4992"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
        <w:gridCol w:w="839"/>
        <w:gridCol w:w="3181"/>
        <w:gridCol w:w="4169"/>
        <w:gridCol w:w="861"/>
        <w:gridCol w:w="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gridAfter w:val="1"/>
          <w:wAfter w:w="1" w:type="pct"/>
          <w:trHeight w:val="488" w:hRule="atLeast"/>
        </w:trPr>
        <w:tc>
          <w:tcPr>
            <w:tcW w:w="467" w:type="pct"/>
            <w:gridSpan w:val="2"/>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类别</w:t>
            </w:r>
          </w:p>
        </w:tc>
        <w:tc>
          <w:tcPr>
            <w:tcW w:w="1755"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相关要求</w:t>
            </w:r>
          </w:p>
        </w:tc>
        <w:tc>
          <w:tcPr>
            <w:tcW w:w="2300"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475"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gridAfter w:val="1"/>
          <w:wAfter w:w="1" w:type="pct"/>
          <w:trHeight w:val="90" w:hRule="atLeast"/>
        </w:trPr>
        <w:tc>
          <w:tcPr>
            <w:tcW w:w="467" w:type="pct"/>
            <w:gridSpan w:val="2"/>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省</w:t>
            </w:r>
          </w:p>
        </w:tc>
        <w:tc>
          <w:tcPr>
            <w:tcW w:w="175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省“十四五”主要任务深入 实施减污降碳、精准治污、亮剑护绿、科技赋能“四大行动”推动重点地区生产企业搬迁改造。推动重污染企业搬迁入园或依法关闭。进一步摸清危险化学品生产企业底数，完善搬迁改造实施方案，落实“一企一策”，强化搬迁改造安全环保管理。</w:t>
            </w:r>
          </w:p>
        </w:tc>
        <w:tc>
          <w:tcPr>
            <w:tcW w:w="2300"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造纸行业技术改造项目，通过技术改造淘汰落后生产设备，将生产废水回用于生产，减少对地表水环境的污染，本项目位于黑龙江大同经济开发区纸业园区内，有利于企业集聚化管控，降低环境污染风险。</w:t>
            </w:r>
          </w:p>
        </w:tc>
        <w:tc>
          <w:tcPr>
            <w:tcW w:w="475"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gridBefore w:val="1"/>
          <w:wBefore w:w="4" w:type="pct"/>
          <w:trHeight w:val="6087" w:hRule="atLeast"/>
        </w:trPr>
        <w:tc>
          <w:tcPr>
            <w:tcW w:w="463" w:type="pct"/>
            <w:vMerge w:val="restar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市</w:t>
            </w:r>
          </w:p>
        </w:tc>
        <w:tc>
          <w:tcPr>
            <w:tcW w:w="175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依照饮用水源地分类管理原则，分批建设饮用水源地无线网络监控体系，完善水源地突发事件预警和应急能力体系，增强应对水源地突发性污染事件能力。加强对可能影响饮水安全的化工、冶炼、造纸等重点行业、重点污染源的监督管理，以石油类、重金属等污染防治为重点，全面排查治理饮用水源保护区内及上游地区的污染源，建立风险源数据信息系统。加强饮用水源保护区、准保护区内及上游地区油类和危险化学品交通运输行业的监管，督促其完善防溢流、防漏、防污染措施。集中式水源地及各大风险源要分别编制突发饮用水水源污染事故应急预案，加强应急演练，为处理重大突发污染事件提供管理及技术储备，确保群众饮用水安全。</w:t>
            </w:r>
          </w:p>
        </w:tc>
        <w:tc>
          <w:tcPr>
            <w:tcW w:w="2300"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黑龙江大同经济开发区纸业园区内，无集中式饮用水源，按照“源头控制、分区防治、污染监控、应急响应”相结合的原则，从污染物的产生、入、扩散、应急响应进行控制。本项目采取分区防渗，重点防渗区为污水处理站、危废暂存间、事故应急池等；一般防渗区为生产车间、机修间、仓库、办公楼等。本项目设置地下水跟踪监测井，设置在污水处理站潜水层下游方向，增强应对突发性污染事件能力。</w:t>
            </w:r>
          </w:p>
        </w:tc>
        <w:tc>
          <w:tcPr>
            <w:tcW w:w="477" w:type="pct"/>
            <w:gridSpan w:val="2"/>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gridBefore w:val="1"/>
          <w:wBefore w:w="4" w:type="pct"/>
          <w:trHeight w:val="1625" w:hRule="atLeast"/>
        </w:trPr>
        <w:tc>
          <w:tcPr>
            <w:tcW w:w="463" w:type="pct"/>
            <w:vMerge w:val="continue"/>
            <w:tcBorders>
              <w:left w:val="nil"/>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tc>
        <w:tc>
          <w:tcPr>
            <w:tcW w:w="175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加大工业企业水污染防治力度。治理重点行业水污染。全面落实“水十条”任务措施和目标要求，依法取缔“十小”企业，推进石化、采掘、造纸、氮肥、印染、农副食品加工、制革、农药、原料药制造等重点行业专项治理，实施清洁化改造。新建、改建、扩建重点行业建设项目的，实行主要污染物排放等量或减量置换。“十四五”期间，氮肥行业尿素生产完成工艺冷凝液水解解析技术改造，印染行业实施低排水染整工艺改造，制革行业实施铬减量化和封闭循环利用技术改造。逐步建立取水量总量和污染物排放总量双总量控制制度。全面推动工业水污染防治从末端治理向源头减排为主的战略转变。</w:t>
            </w:r>
          </w:p>
        </w:tc>
        <w:tc>
          <w:tcPr>
            <w:tcW w:w="2300"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本项目运行时产生的废水主要为生产废水、生活污水。造纸产生的生产废水经处理后全部回用于</w:t>
            </w:r>
            <w:r>
              <w:rPr>
                <w:rFonts w:hint="eastAsia" w:ascii="Times New Roman" w:cs="Times New Roman"/>
                <w:color w:val="auto"/>
                <w:sz w:val="21"/>
                <w:szCs w:val="21"/>
                <w:highlight w:val="none"/>
                <w:lang w:val="en-US" w:eastAsia="zh-CN"/>
              </w:rPr>
              <w:t>生产</w:t>
            </w:r>
            <w:r>
              <w:rPr>
                <w:rFonts w:hint="eastAsia" w:ascii="Times New Roman" w:hAnsi="Times New Roman" w:eastAsia="宋体" w:cs="Times New Roman"/>
                <w:color w:val="auto"/>
                <w:sz w:val="21"/>
                <w:szCs w:val="21"/>
                <w:highlight w:val="none"/>
                <w:lang w:val="en-US" w:eastAsia="zh-CN"/>
              </w:rPr>
              <w:t>，地厂区生活废水排入防渗旱厕内，定期清掏。</w:t>
            </w:r>
          </w:p>
        </w:tc>
        <w:tc>
          <w:tcPr>
            <w:tcW w:w="477" w:type="pct"/>
            <w:gridSpan w:val="2"/>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ascii="宋体" w:hAnsi="Times New Roman" w:eastAsia="宋体" w:cs="Times New Roman"/>
          <w:color w:val="auto"/>
          <w:highlight w:val="none"/>
        </w:rPr>
      </w:pPr>
      <w:r>
        <w:rPr>
          <w:rFonts w:ascii="宋体" w:hAnsi="Times New Roman" w:eastAsia="宋体" w:cs="Times New Roman"/>
          <w:color w:val="auto"/>
          <w:highlight w:val="none"/>
        </w:rPr>
        <w:t>本项目符合黑龙江省“十四五”生态环境保护规划、《大庆市“十四五”生态环境保护规划》内相关内容要求。</w:t>
      </w:r>
    </w:p>
    <w:p>
      <w:pPr>
        <w:bidi w:val="0"/>
        <w:rPr>
          <w:rFonts w:ascii="宋体" w:hAnsi="Times New Roman" w:eastAsia="宋体" w:cs="Times New Roman"/>
          <w:color w:val="auto"/>
          <w:highlight w:val="none"/>
        </w:rPr>
      </w:pPr>
      <w:r>
        <w:rPr>
          <w:rFonts w:hint="eastAsia" w:cs="Times New Roman"/>
          <w:color w:val="auto"/>
          <w:highlight w:val="none"/>
          <w:lang w:val="en-US" w:eastAsia="zh-CN"/>
        </w:rPr>
        <w:t>8</w:t>
      </w:r>
      <w:r>
        <w:rPr>
          <w:rFonts w:ascii="宋体" w:hAnsi="Times New Roman" w:eastAsia="宋体" w:cs="Times New Roman"/>
          <w:color w:val="auto"/>
          <w:highlight w:val="none"/>
        </w:rPr>
        <w:t>、与《关于做好淘汰落后造纸、酒精、味精、柠檬酸生产能力工作的通知》符合性分析</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为贯彻落实《国务院关于印发节能减排综合性工作方案的通知》(国发[2007]15号，以下简称《通知》)精神和工作部署，完成淘汰落后造纸、酒精、味精、柠檬酸产能(以下简称淘汰落后产能)任务，实现减排化学需氧量(COD)目标，推进行业结构调整，促进产业优化升级，本项目符合性见</w:t>
      </w:r>
      <w:r>
        <w:rPr>
          <w:rFonts w:hint="eastAsia" w:ascii="宋体" w:hAnsi="Times New Roman" w:eastAsia="宋体" w:cs="Times New Roman"/>
          <w:color w:val="auto"/>
          <w:highlight w:val="none"/>
          <w:lang w:val="en-US" w:eastAsia="zh-CN"/>
        </w:rPr>
        <w:t>下</w:t>
      </w:r>
      <w:r>
        <w:rPr>
          <w:rFonts w:ascii="宋体" w:hAnsi="Times New Roman" w:eastAsia="宋体" w:cs="Times New Roman"/>
          <w:color w:val="auto"/>
          <w:highlight w:val="none"/>
        </w:rPr>
        <w:t>表。</w:t>
      </w:r>
    </w:p>
    <w:p>
      <w:pPr>
        <w:bidi w:val="0"/>
      </w:pPr>
      <w:r>
        <w:rPr>
          <w:rFonts w:ascii="宋体" w:hAnsi="Times New Roman" w:eastAsia="宋体" w:cs="Times New Roman"/>
          <w:color w:val="auto"/>
          <w:highlight w:val="none"/>
        </w:rPr>
        <w:t>表 1.3</w:t>
      </w:r>
      <w:r>
        <w:rPr>
          <w:rFonts w:hint="eastAsia" w:ascii="宋体" w:hAnsi="Times New Roman" w:eastAsia="宋体" w:cs="Times New Roman"/>
          <w:color w:val="auto"/>
          <w:highlight w:val="none"/>
          <w:lang w:val="en-US" w:eastAsia="zh-CN"/>
        </w:rPr>
        <w:t>.1</w:t>
      </w:r>
      <w:r>
        <w:rPr>
          <w:rFonts w:ascii="宋体" w:hAnsi="Times New Roman" w:eastAsia="宋体" w:cs="Times New Roman"/>
          <w:color w:val="auto"/>
          <w:highlight w:val="none"/>
        </w:rPr>
        <w:t>-</w:t>
      </w:r>
      <w:r>
        <w:rPr>
          <w:rFonts w:hint="eastAsia" w:ascii="宋体" w:hAnsi="Times New Roman" w:eastAsia="宋体" w:cs="Times New Roman"/>
          <w:color w:val="auto"/>
          <w:highlight w:val="none"/>
          <w:lang w:val="en-US" w:eastAsia="zh-CN"/>
        </w:rPr>
        <w:t>9</w:t>
      </w:r>
      <w:r>
        <w:rPr>
          <w:rFonts w:ascii="宋体" w:hAnsi="Times New Roman" w:eastAsia="宋体" w:cs="Times New Roman"/>
          <w:color w:val="auto"/>
          <w:highlight w:val="none"/>
        </w:rPr>
        <w:t>与《关于做好淘汰落后造纸、酒精、味精、柠檬酸生产能力工作的通知》符合性分析</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158"/>
        <w:gridCol w:w="3858"/>
        <w:gridCol w:w="2712"/>
        <w:gridCol w:w="134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6" w:hRule="atLeast"/>
        </w:trPr>
        <w:tc>
          <w:tcPr>
            <w:tcW w:w="638" w:type="pc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2125"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通知要求</w:t>
            </w:r>
          </w:p>
        </w:tc>
        <w:tc>
          <w:tcPr>
            <w:tcW w:w="1494" w:type="pc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741" w:type="pct"/>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638"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12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造纸行业主要淘汰年产 3.4 万吨以下草</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浆生产装置、年产 1.7 万吨以下化学制</w:t>
            </w:r>
          </w:p>
        </w:tc>
        <w:tc>
          <w:tcPr>
            <w:tcW w:w="149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本项目以漂白针叶木浆和木浆成份纸板原料，采用机械</w:t>
            </w:r>
          </w:p>
        </w:tc>
        <w:tc>
          <w:tcPr>
            <w:tcW w:w="741"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40" w:hRule="atLeast"/>
        </w:trPr>
        <w:tc>
          <w:tcPr>
            <w:tcW w:w="638" w:type="pct"/>
            <w:tcBorders>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w:t>
            </w:r>
          </w:p>
        </w:tc>
        <w:tc>
          <w:tcPr>
            <w:tcW w:w="2125" w:type="pct"/>
            <w:tcBorders>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浆生产线(适用 GB3554-2001《造纸工业水污染物排放标准》)、排放不达标的(适用《环保总局关于修订〈造纸工业水污染物排放标准〉的公告》(环发[2003]152号))年产 1 万吨以下以废纸为原料的纸厂(东部、中部省份可根据本地实际适当提高淘汰落后制浆造纸产能的标准)。</w:t>
            </w:r>
          </w:p>
        </w:tc>
        <w:tc>
          <w:tcPr>
            <w:tcW w:w="1494" w:type="pct"/>
            <w:tcBorders>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法制浆造纸，无化学、生物制浆，本项目无脱墨、漂白工序。生产废水经污水处理站处理后，全部回用于生产，不外排。</w:t>
            </w:r>
          </w:p>
        </w:tc>
        <w:tc>
          <w:tcPr>
            <w:tcW w:w="741" w:type="pct"/>
            <w:tcBorders>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bidi w:val="0"/>
        <w:rPr>
          <w:rFonts w:ascii="宋体" w:hAnsi="Times New Roman" w:eastAsia="宋体" w:cs="Times New Roman"/>
          <w:color w:val="auto"/>
          <w:highlight w:val="none"/>
        </w:rPr>
      </w:pPr>
      <w:r>
        <w:rPr>
          <w:rFonts w:hint="eastAsia" w:cs="Times New Roman"/>
          <w:color w:val="auto"/>
          <w:highlight w:val="none"/>
          <w:lang w:val="en-US" w:eastAsia="zh-CN"/>
        </w:rPr>
        <w:t>9</w:t>
      </w:r>
      <w:r>
        <w:rPr>
          <w:rFonts w:hint="eastAsia" w:ascii="宋体" w:hAnsi="Times New Roman" w:eastAsia="宋体" w:cs="Times New Roman"/>
          <w:color w:val="auto"/>
          <w:highlight w:val="none"/>
          <w:lang w:val="en-US" w:eastAsia="zh-CN"/>
        </w:rPr>
        <w:t>、</w:t>
      </w:r>
      <w:r>
        <w:rPr>
          <w:rFonts w:ascii="宋体" w:hAnsi="Times New Roman" w:eastAsia="宋体" w:cs="Times New Roman"/>
          <w:color w:val="auto"/>
          <w:highlight w:val="none"/>
        </w:rPr>
        <w:t>与《造纸行业“十四五”及中长期高质量发展纲要》符合性分析</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具体见表 1.3-10。</w:t>
      </w:r>
    </w:p>
    <w:p>
      <w:pPr>
        <w:bidi w:val="0"/>
      </w:pPr>
      <w:r>
        <w:rPr>
          <w:rFonts w:ascii="宋体" w:hAnsi="Times New Roman" w:eastAsia="宋体" w:cs="Times New Roman"/>
          <w:color w:val="auto"/>
          <w:highlight w:val="none"/>
        </w:rPr>
        <w:t>表 1.3</w:t>
      </w:r>
      <w:r>
        <w:rPr>
          <w:rFonts w:hint="eastAsia" w:ascii="宋体" w:hAnsi="Times New Roman" w:eastAsia="宋体" w:cs="Times New Roman"/>
          <w:color w:val="auto"/>
          <w:highlight w:val="none"/>
          <w:lang w:val="en-US" w:eastAsia="zh-CN"/>
        </w:rPr>
        <w:t>.1</w:t>
      </w:r>
      <w:r>
        <w:rPr>
          <w:rFonts w:ascii="宋体" w:hAnsi="Times New Roman" w:eastAsia="宋体" w:cs="Times New Roman"/>
          <w:color w:val="auto"/>
          <w:highlight w:val="none"/>
        </w:rPr>
        <w:t>-</w:t>
      </w:r>
      <w:r>
        <w:rPr>
          <w:rFonts w:hint="eastAsia" w:ascii="宋体" w:hAnsi="Times New Roman" w:eastAsia="宋体" w:cs="Times New Roman"/>
          <w:color w:val="auto"/>
          <w:highlight w:val="none"/>
          <w:lang w:val="en-US" w:eastAsia="zh-CN"/>
        </w:rPr>
        <w:t>10</w:t>
      </w:r>
      <w:r>
        <w:rPr>
          <w:rFonts w:ascii="宋体" w:hAnsi="Times New Roman" w:eastAsia="宋体" w:cs="Times New Roman"/>
          <w:color w:val="auto"/>
          <w:highlight w:val="none"/>
        </w:rPr>
        <w:tab/>
      </w:r>
      <w:r>
        <w:rPr>
          <w:rFonts w:ascii="宋体" w:hAnsi="Times New Roman" w:eastAsia="宋体" w:cs="Times New Roman"/>
          <w:color w:val="auto"/>
          <w:highlight w:val="none"/>
        </w:rPr>
        <w:t>与《造纸行业“十四五”及中长期高质量发展纲要》符合性分析</w:t>
      </w:r>
    </w:p>
    <w:tbl>
      <w:tblPr>
        <w:tblStyle w:val="23"/>
        <w:tblW w:w="0" w:type="auto"/>
        <w:tblInd w:w="162"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50"/>
        <w:gridCol w:w="2694"/>
        <w:gridCol w:w="3830"/>
        <w:gridCol w:w="133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1150" w:type="dxa"/>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2694" w:type="dxa"/>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通知要求</w:t>
            </w:r>
          </w:p>
        </w:tc>
        <w:tc>
          <w:tcPr>
            <w:tcW w:w="3830" w:type="dxa"/>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c>
          <w:tcPr>
            <w:tcW w:w="1338" w:type="dxa"/>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65" w:hRule="atLeast"/>
        </w:trPr>
        <w:tc>
          <w:tcPr>
            <w:tcW w:w="1150" w:type="dxa"/>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694" w:type="dxa"/>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物减排。巩固减排成果，保持污染物低排放水平，加大固体废物的综合利用和固、液、气废物中生物质的能源化利用。加强无组织逸散污染物的收集和处理，提高环保设施的自动化和运行管理水平。持证排污，依法依规申请排污许可证，做好自行监测。</w:t>
            </w:r>
          </w:p>
        </w:tc>
        <w:tc>
          <w:tcPr>
            <w:tcW w:w="3830" w:type="dxa"/>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造纸行业技术改造项目，通过技术改造淘汰落后生产设备，改变排水方式，将生产废水回用于生产，不外排，减少对地表水环境的污染；本项目对污水处理站产生的氨气、硫化氢进行加盖密闭、负压收集+活性炭吸附后由 15m 高排气筒排放，污染物排放浓度能够满足《恶臭污染物排放标准》（GB14554-93）相应的排放要求。</w:t>
            </w:r>
          </w:p>
        </w:tc>
        <w:tc>
          <w:tcPr>
            <w:tcW w:w="1338" w:type="dxa"/>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pPr>
        <w:pStyle w:val="2"/>
        <w:ind w:left="0" w:leftChars="0" w:firstLine="0" w:firstLineChars="0"/>
        <w:jc w:val="both"/>
        <w:rPr>
          <w:rFonts w:hint="eastAsia"/>
        </w:rPr>
      </w:pPr>
    </w:p>
    <w:p>
      <w:pPr>
        <w:keepNext w:val="0"/>
        <w:keepLines w:val="0"/>
        <w:widowControl/>
        <w:suppressLineNumbers w:val="0"/>
        <w:ind w:left="0" w:leftChars="0" w:firstLine="0" w:firstLineChars="0"/>
        <w:jc w:val="left"/>
        <w:outlineLvl w:val="2"/>
        <w:rPr>
          <w:color w:val="auto"/>
          <w:highlight w:val="none"/>
        </w:rPr>
      </w:pPr>
      <w:bookmarkStart w:id="49" w:name="_Toc3628"/>
      <w:r>
        <w:rPr>
          <w:rFonts w:hint="default" w:ascii="Times New Roman" w:hAnsi="Times New Roman" w:eastAsia="宋体" w:cs="Times New Roman"/>
          <w:b/>
          <w:bCs/>
          <w:color w:val="auto"/>
          <w:kern w:val="0"/>
          <w:sz w:val="28"/>
          <w:szCs w:val="28"/>
          <w:highlight w:val="none"/>
          <w:lang w:val="en-US" w:eastAsia="zh-CN" w:bidi="ar"/>
        </w:rPr>
        <w:t>1.3.2“</w:t>
      </w:r>
      <w:r>
        <w:rPr>
          <w:rFonts w:hint="eastAsia" w:ascii="宋体" w:hAnsi="宋体" w:eastAsia="宋体" w:cs="宋体"/>
          <w:b/>
          <w:bCs/>
          <w:color w:val="auto"/>
          <w:kern w:val="0"/>
          <w:sz w:val="28"/>
          <w:szCs w:val="28"/>
          <w:highlight w:val="none"/>
          <w:lang w:val="en-US" w:eastAsia="zh-CN" w:bidi="ar"/>
        </w:rPr>
        <w:t>三线一单</w:t>
      </w:r>
      <w:r>
        <w:rPr>
          <w:rFonts w:hint="default" w:ascii="Times New Roman" w:hAnsi="Times New Roman" w:eastAsia="宋体" w:cs="Times New Roman"/>
          <w:b/>
          <w:bCs/>
          <w:color w:val="auto"/>
          <w:kern w:val="0"/>
          <w:sz w:val="28"/>
          <w:szCs w:val="28"/>
          <w:highlight w:val="none"/>
          <w:lang w:val="en-US" w:eastAsia="zh-CN" w:bidi="ar"/>
        </w:rPr>
        <w:t>”</w:t>
      </w:r>
      <w:r>
        <w:rPr>
          <w:rFonts w:hint="eastAsia" w:ascii="宋体" w:hAnsi="宋体" w:eastAsia="宋体" w:cs="宋体"/>
          <w:b/>
          <w:bCs/>
          <w:color w:val="auto"/>
          <w:kern w:val="0"/>
          <w:sz w:val="28"/>
          <w:szCs w:val="28"/>
          <w:highlight w:val="none"/>
          <w:lang w:val="en-US" w:eastAsia="zh-CN" w:bidi="ar"/>
        </w:rPr>
        <w:t>符合性分析</w:t>
      </w:r>
      <w:bookmarkEnd w:id="49"/>
      <w:r>
        <w:rPr>
          <w:rFonts w:hint="eastAsia" w:ascii="宋体" w:hAnsi="宋体" w:eastAsia="宋体" w:cs="宋体"/>
          <w:b/>
          <w:bCs/>
          <w:color w:val="auto"/>
          <w:kern w:val="0"/>
          <w:sz w:val="28"/>
          <w:szCs w:val="28"/>
          <w:highlight w:val="none"/>
          <w:lang w:val="en-US" w:eastAsia="zh-CN" w:bidi="ar"/>
        </w:rPr>
        <w:t xml:space="preserve"> </w:t>
      </w:r>
    </w:p>
    <w:p>
      <w:pPr>
        <w:bidi w:val="0"/>
        <w:rPr>
          <w:color w:val="auto"/>
          <w:highlight w:val="none"/>
        </w:rPr>
      </w:pPr>
      <w:r>
        <w:rPr>
          <w:color w:val="auto"/>
          <w:highlight w:val="none"/>
        </w:rPr>
        <w:t>根据《关于以改善环境质量为核心加强环境影响评价管理的通知》</w:t>
      </w:r>
      <w:r>
        <w:rPr>
          <w:rFonts w:hint="eastAsia"/>
          <w:color w:val="auto"/>
          <w:highlight w:val="none"/>
          <w:lang w:eastAsia="zh-CN"/>
        </w:rPr>
        <w:t>（</w:t>
      </w:r>
      <w:r>
        <w:rPr>
          <w:color w:val="auto"/>
          <w:highlight w:val="none"/>
        </w:rPr>
        <w:t>环评[2016]150号）要求：为适应以改善环境质量为核心的环境管理要求，切实加强环境影响评价管理，落实</w:t>
      </w:r>
      <w:r>
        <w:rPr>
          <w:rFonts w:hint="eastAsia"/>
          <w:color w:val="auto"/>
          <w:highlight w:val="none"/>
          <w:lang w:eastAsia="zh-CN"/>
        </w:rPr>
        <w:t>“</w:t>
      </w:r>
      <w:r>
        <w:rPr>
          <w:color w:val="auto"/>
          <w:highlight w:val="none"/>
        </w:rPr>
        <w:t>生态保护红线、环境质量底线、资源利用上线和环境准入负面清单</w:t>
      </w:r>
      <w:r>
        <w:rPr>
          <w:rFonts w:hint="eastAsia"/>
          <w:color w:val="auto"/>
          <w:highlight w:val="none"/>
          <w:lang w:eastAsia="zh-CN"/>
        </w:rPr>
        <w:t>”（</w:t>
      </w:r>
      <w:r>
        <w:rPr>
          <w:color w:val="auto"/>
          <w:highlight w:val="none"/>
        </w:rPr>
        <w:t>以下简称</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）约束，建立项目环评审批与规划环评、现有项目环境管理、区域环境质量联动机制</w:t>
      </w:r>
      <w:r>
        <w:rPr>
          <w:rFonts w:hint="eastAsia"/>
          <w:color w:val="auto"/>
          <w:highlight w:val="none"/>
          <w:lang w:eastAsia="zh-CN"/>
        </w:rPr>
        <w:t>（</w:t>
      </w:r>
      <w:r>
        <w:rPr>
          <w:color w:val="auto"/>
          <w:highlight w:val="none"/>
        </w:rPr>
        <w:t>以下简称</w:t>
      </w:r>
      <w:r>
        <w:rPr>
          <w:rFonts w:hint="eastAsia"/>
          <w:color w:val="auto"/>
          <w:highlight w:val="none"/>
          <w:lang w:eastAsia="zh-CN"/>
        </w:rPr>
        <w:t>“</w:t>
      </w:r>
      <w:r>
        <w:rPr>
          <w:color w:val="auto"/>
          <w:highlight w:val="none"/>
        </w:rPr>
        <w:t>三挂钩</w:t>
      </w:r>
      <w:r>
        <w:rPr>
          <w:rFonts w:hint="eastAsia"/>
          <w:color w:val="auto"/>
          <w:highlight w:val="none"/>
          <w:lang w:eastAsia="zh-CN"/>
        </w:rPr>
        <w:t>”</w:t>
      </w:r>
      <w:r>
        <w:rPr>
          <w:color w:val="auto"/>
          <w:highlight w:val="none"/>
        </w:rPr>
        <w:t>机制），更好地发挥环评制度从源头防范环境污染和生态破坏的作用，加快推进改善环境质量。本项目位于大庆市</w:t>
      </w:r>
      <w:r>
        <w:rPr>
          <w:rFonts w:hint="eastAsia"/>
          <w:color w:val="auto"/>
          <w:highlight w:val="none"/>
          <w:lang w:eastAsia="zh-CN"/>
        </w:rPr>
        <w:t>大同区</w:t>
      </w:r>
      <w:r>
        <w:rPr>
          <w:color w:val="auto"/>
          <w:highlight w:val="none"/>
        </w:rPr>
        <w:t>，结合《黑龙江省人民政府关于实施</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生态环境分区管控的意见》</w:t>
      </w:r>
      <w:r>
        <w:rPr>
          <w:rFonts w:hint="eastAsia"/>
          <w:color w:val="auto"/>
          <w:highlight w:val="none"/>
          <w:lang w:eastAsia="zh-CN"/>
        </w:rPr>
        <w:t>（</w:t>
      </w:r>
      <w:r>
        <w:rPr>
          <w:color w:val="auto"/>
          <w:highlight w:val="none"/>
        </w:rPr>
        <w:t>黑政发[2020]14号）和《大庆市人民政府关于实施</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生态环境分区管控的意见》</w:t>
      </w:r>
      <w:r>
        <w:rPr>
          <w:rFonts w:hint="eastAsia"/>
          <w:color w:val="auto"/>
          <w:highlight w:val="none"/>
          <w:lang w:eastAsia="zh-CN"/>
        </w:rPr>
        <w:t>（</w:t>
      </w:r>
      <w:r>
        <w:rPr>
          <w:color w:val="auto"/>
          <w:highlight w:val="none"/>
        </w:rPr>
        <w:t>庆政规</w:t>
      </w:r>
      <w:r>
        <w:rPr>
          <w:rFonts w:hint="eastAsia"/>
          <w:color w:val="auto"/>
          <w:highlight w:val="none"/>
          <w:lang w:eastAsia="zh-CN"/>
        </w:rPr>
        <w:t>[</w:t>
      </w:r>
      <w:r>
        <w:rPr>
          <w:color w:val="auto"/>
          <w:highlight w:val="none"/>
        </w:rPr>
        <w:t>2021</w:t>
      </w:r>
      <w:r>
        <w:rPr>
          <w:rFonts w:hint="eastAsia"/>
          <w:color w:val="auto"/>
          <w:highlight w:val="none"/>
          <w:lang w:eastAsia="zh-CN"/>
        </w:rPr>
        <w:t>]</w:t>
      </w:r>
      <w:r>
        <w:rPr>
          <w:color w:val="auto"/>
          <w:highlight w:val="none"/>
        </w:rPr>
        <w:t>3号）相关管理要求进行本项目与</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符合性分析，具体见表</w:t>
      </w:r>
      <w:r>
        <w:rPr>
          <w:rFonts w:hint="eastAsia"/>
          <w:color w:val="auto"/>
          <w:highlight w:val="none"/>
          <w:lang w:val="en-US" w:eastAsia="zh-CN"/>
        </w:rPr>
        <w:t>1.3.2-1</w:t>
      </w:r>
      <w:r>
        <w:rPr>
          <w:color w:val="auto"/>
          <w:highlight w:val="none"/>
        </w:rPr>
        <w:t>。</w:t>
      </w:r>
    </w:p>
    <w:p>
      <w:pPr>
        <w:bidi w:val="0"/>
        <w:rPr>
          <w:rFonts w:hint="eastAsia"/>
          <w:color w:val="auto"/>
          <w:highlight w:val="none"/>
        </w:rPr>
      </w:pPr>
      <w:r>
        <w:rPr>
          <w:rFonts w:hint="eastAsia"/>
          <w:color w:val="auto"/>
          <w:highlight w:val="none"/>
        </w:rPr>
        <w:t>（1）生态保护红线</w:t>
      </w:r>
    </w:p>
    <w:p>
      <w:pPr>
        <w:bidi w:val="0"/>
        <w:rPr>
          <w:rFonts w:hint="eastAsia"/>
          <w:color w:val="auto"/>
          <w:highlight w:val="none"/>
        </w:rPr>
      </w:pPr>
      <w:r>
        <w:rPr>
          <w:rFonts w:hint="eastAsia"/>
          <w:color w:val="auto"/>
          <w:highlight w:val="none"/>
        </w:rPr>
        <w:t>本项目位于</w:t>
      </w:r>
      <w:r>
        <w:rPr>
          <w:rFonts w:hint="eastAsia"/>
          <w:color w:val="auto"/>
          <w:highlight w:val="none"/>
          <w:lang w:eastAsia="zh-CN"/>
        </w:rPr>
        <w:t>黑龙江大同经济开发区纸业园区</w:t>
      </w:r>
      <w:r>
        <w:rPr>
          <w:rFonts w:hint="eastAsia"/>
          <w:color w:val="auto"/>
          <w:highlight w:val="none"/>
        </w:rPr>
        <w:t>。项目选址不涉及自然保护区、风景名胜区、重要湿地、生态公益林、重要自然与人文景观、文物古迹及其他需要特别保护的区域，项目用地红线不在饮用水源保护区范围内，项目选址符合生态保护红线要求。</w:t>
      </w:r>
    </w:p>
    <w:p>
      <w:pPr>
        <w:bidi w:val="0"/>
        <w:rPr>
          <w:rFonts w:hint="eastAsia"/>
          <w:color w:val="auto"/>
          <w:highlight w:val="none"/>
        </w:rPr>
      </w:pPr>
      <w:r>
        <w:rPr>
          <w:rFonts w:hint="eastAsia"/>
          <w:color w:val="auto"/>
          <w:highlight w:val="none"/>
        </w:rPr>
        <w:t>（2）环境质量底线</w:t>
      </w:r>
    </w:p>
    <w:p>
      <w:pPr>
        <w:keepNext w:val="0"/>
        <w:keepLines w:val="0"/>
        <w:pageBreakBefore w:val="0"/>
        <w:widowControl w:val="0"/>
        <w:kinsoku/>
        <w:wordWrap/>
        <w:overflowPunct/>
        <w:topLinePunct w:val="0"/>
        <w:autoSpaceDE w:val="0"/>
        <w:autoSpaceDN w:val="0"/>
        <w:bidi w:val="0"/>
        <w:adjustRightInd/>
        <w:snapToGrid/>
        <w:jc w:val="both"/>
        <w:textAlignment w:val="auto"/>
        <w:rPr>
          <w:rFonts w:hint="eastAsia" w:ascii="Times New Roman" w:hAnsi="Times New Roman" w:eastAsia="宋体" w:cs="Times New Roman"/>
          <w:color w:val="auto"/>
          <w:sz w:val="24"/>
          <w:highlight w:val="none"/>
        </w:rPr>
      </w:pPr>
      <w:r>
        <w:rPr>
          <w:rFonts w:hint="eastAsia" w:ascii="Times New Roman" w:cs="Times New Roman"/>
          <w:color w:val="auto"/>
          <w:sz w:val="24"/>
          <w:highlight w:val="none"/>
          <w:lang w:val="en-US" w:eastAsia="zh-CN"/>
        </w:rPr>
        <w:t>根据《黑龙江大同经济开发区总体规划》（2021—2030），</w:t>
      </w:r>
      <w:r>
        <w:rPr>
          <w:rFonts w:hint="eastAsia" w:ascii="Times New Roman" w:hAnsi="Times New Roman" w:eastAsia="宋体" w:cs="Times New Roman"/>
          <w:color w:val="auto"/>
          <w:sz w:val="24"/>
          <w:highlight w:val="none"/>
        </w:rPr>
        <w:t>项目所在区域的环境质量底线为：环境空气质量目标为《环境空气质量标准》（GB3095-2012）二级标准；地表水环境质量目标为《地表水环境质量标准》（GB3838-2002）</w:t>
      </w:r>
      <w:r>
        <w:rPr>
          <w:rFonts w:hint="eastAsia" w:ascii="Times New Roman" w:hAnsi="Times New Roman" w:eastAsia="宋体" w:cs="Times New Roman"/>
          <w:color w:val="auto"/>
          <w:sz w:val="24"/>
          <w:highlight w:val="none"/>
          <w:lang w:val="en-US" w:eastAsia="zh-CN"/>
        </w:rPr>
        <w:t>V</w:t>
      </w:r>
      <w:r>
        <w:rPr>
          <w:rFonts w:hint="eastAsia" w:ascii="Times New Roman" w:hAnsi="Times New Roman" w:eastAsia="宋体" w:cs="Times New Roman"/>
          <w:color w:val="auto"/>
          <w:sz w:val="24"/>
          <w:highlight w:val="none"/>
        </w:rPr>
        <w:t>类水质标准；地下水环境质量目标为《地下水质量标准》（GB/T14848-2017）的Ⅲ类标准；项目声环境质量目标为《声环境质量标准》（GB3096-2008）</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rPr>
        <w:t>类标准。</w:t>
      </w:r>
    </w:p>
    <w:p>
      <w:pPr>
        <w:bidi w:val="0"/>
        <w:rPr>
          <w:rFonts w:hint="eastAsia"/>
          <w:color w:val="auto"/>
          <w:highlight w:val="none"/>
        </w:rPr>
      </w:pPr>
      <w:r>
        <w:rPr>
          <w:rFonts w:hint="eastAsia"/>
          <w:color w:val="auto"/>
          <w:highlight w:val="none"/>
        </w:rPr>
        <w:t>项目</w:t>
      </w:r>
      <w:r>
        <w:rPr>
          <w:rFonts w:hint="eastAsia"/>
          <w:color w:val="auto"/>
          <w:highlight w:val="none"/>
          <w:lang w:val="en-US" w:eastAsia="zh-CN"/>
        </w:rPr>
        <w:t>生产</w:t>
      </w:r>
      <w:r>
        <w:rPr>
          <w:rFonts w:hint="eastAsia"/>
          <w:color w:val="auto"/>
          <w:highlight w:val="none"/>
        </w:rPr>
        <w:t>废水</w:t>
      </w:r>
      <w:r>
        <w:rPr>
          <w:rFonts w:hint="eastAsia"/>
          <w:color w:val="auto"/>
          <w:highlight w:val="none"/>
          <w:lang w:val="en-US" w:eastAsia="zh-CN"/>
        </w:rPr>
        <w:t>处理后全部回用于生产，</w:t>
      </w:r>
      <w:r>
        <w:rPr>
          <w:rFonts w:hint="eastAsia"/>
          <w:color w:val="auto"/>
          <w:highlight w:val="none"/>
        </w:rPr>
        <w:t>废气达标排放，危险废物和一般固废分类收集、贮存和处置，按规范要求分区防渗，噪声隔声减震等，根据项目所在地环境质量现状调查和污染排放影响预测可知，本项目运营后对区域内环境影响不大，环境质量可以保持现有水平，不会对区域环境质量底线造成冲击。</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（3）资源利用上线</w:t>
      </w:r>
    </w:p>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ascii="Times New Roman" w:cs="Times New Roman"/>
          <w:color w:val="auto"/>
          <w:highlight w:val="none"/>
          <w:lang w:val="en-US" w:eastAsia="zh-CN"/>
        </w:rPr>
        <w:t>不新增占地，</w:t>
      </w:r>
      <w:r>
        <w:rPr>
          <w:rFonts w:hint="eastAsia" w:ascii="Times New Roman" w:hAnsi="Times New Roman" w:eastAsia="宋体" w:cs="Times New Roman"/>
          <w:color w:val="auto"/>
          <w:highlight w:val="none"/>
          <w:lang w:val="en-US" w:eastAsia="zh-CN"/>
        </w:rPr>
        <w:t>建成运行后通过环境管理、设备选型、优化生产工艺、降低能耗、减少污染物排放等方面提高项目的清洁生产水平，项目运营期水</w:t>
      </w:r>
      <w:r>
        <w:rPr>
          <w:rFonts w:hint="eastAsia" w:ascii="Times New Roman" w:cs="Times New Roman"/>
          <w:color w:val="auto"/>
          <w:highlight w:val="none"/>
          <w:lang w:val="en-US" w:eastAsia="zh-CN"/>
        </w:rPr>
        <w:t>资源循环利用，</w:t>
      </w:r>
      <w:r>
        <w:rPr>
          <w:rFonts w:hint="eastAsia" w:ascii="Times New Roman" w:hAnsi="Times New Roman" w:eastAsia="宋体" w:cs="Times New Roman"/>
          <w:color w:val="auto"/>
          <w:highlight w:val="none"/>
          <w:lang w:val="en-US" w:eastAsia="zh-CN"/>
        </w:rPr>
        <w:t>不会突破区域的资源利用上线。</w:t>
      </w:r>
    </w:p>
    <w:p>
      <w:pPr>
        <w:keepNext w:val="0"/>
        <w:keepLines w:val="0"/>
        <w:widowControl/>
        <w:suppressLineNumbers w:val="0"/>
        <w:jc w:val="left"/>
        <w:rPr>
          <w:b w:val="0"/>
          <w:bCs w:val="0"/>
          <w:color w:val="auto"/>
          <w:highlight w:val="none"/>
        </w:rPr>
      </w:pPr>
      <w:r>
        <w:rPr>
          <w:rFonts w:hint="eastAsia" w:ascii="宋体" w:hAnsi="宋体" w:eastAsia="宋体" w:cs="宋体"/>
          <w:b w:val="0"/>
          <w:bCs w:val="0"/>
          <w:color w:val="auto"/>
          <w:kern w:val="0"/>
          <w:sz w:val="24"/>
          <w:szCs w:val="24"/>
          <w:highlight w:val="none"/>
          <w:lang w:val="en-US" w:eastAsia="zh-CN" w:bidi="ar"/>
        </w:rPr>
        <w:t>（</w:t>
      </w:r>
      <w:r>
        <w:rPr>
          <w:rFonts w:hint="default" w:ascii="Times New Roman" w:hAnsi="Times New Roman" w:eastAsia="宋体" w:cs="Times New Roman"/>
          <w:b w:val="0"/>
          <w:bCs w:val="0"/>
          <w:color w:val="auto"/>
          <w:kern w:val="0"/>
          <w:sz w:val="24"/>
          <w:szCs w:val="24"/>
          <w:highlight w:val="none"/>
          <w:lang w:val="en-US" w:eastAsia="zh-CN" w:bidi="ar"/>
        </w:rPr>
        <w:t>4</w:t>
      </w:r>
      <w:r>
        <w:rPr>
          <w:rFonts w:hint="eastAsia" w:ascii="宋体" w:hAnsi="宋体" w:eastAsia="宋体" w:cs="宋体"/>
          <w:b w:val="0"/>
          <w:bCs w:val="0"/>
          <w:color w:val="auto"/>
          <w:kern w:val="0"/>
          <w:sz w:val="24"/>
          <w:szCs w:val="24"/>
          <w:highlight w:val="none"/>
          <w:lang w:val="en-US" w:eastAsia="zh-CN" w:bidi="ar"/>
        </w:rPr>
        <w:t xml:space="preserve">）环境准入负面清单 </w:t>
      </w:r>
    </w:p>
    <w:p>
      <w:pPr>
        <w:keepNext w:val="0"/>
        <w:keepLines w:val="0"/>
        <w:widowControl/>
        <w:suppressLineNumbers w:val="0"/>
        <w:jc w:val="left"/>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本项目属于</w:t>
      </w:r>
      <w:r>
        <w:rPr>
          <w:rFonts w:hint="eastAsia"/>
          <w:color w:val="auto"/>
          <w:lang w:val="en-US" w:eastAsia="zh-CN"/>
        </w:rPr>
        <w:t>现有生产线的改造项目</w:t>
      </w:r>
      <w:r>
        <w:rPr>
          <w:rFonts w:hint="eastAsia" w:ascii="宋体" w:hAnsi="宋体" w:eastAsia="宋体" w:cs="宋体"/>
          <w:color w:val="0000FF"/>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位于黑龙江大同经济开发区纸业园区，未增加生产规模，且通过改变</w:t>
      </w:r>
      <w:r>
        <w:rPr>
          <w:rFonts w:hint="eastAsia" w:hAnsi="宋体" w:cs="宋体"/>
          <w:color w:val="auto"/>
          <w:kern w:val="0"/>
          <w:sz w:val="24"/>
          <w:szCs w:val="24"/>
          <w:highlight w:val="none"/>
          <w:lang w:val="en-US" w:eastAsia="zh-CN" w:bidi="ar"/>
        </w:rPr>
        <w:t>原料及</w:t>
      </w:r>
      <w:r>
        <w:rPr>
          <w:rFonts w:hint="eastAsia" w:ascii="宋体" w:hAnsi="宋体" w:eastAsia="宋体" w:cs="宋体"/>
          <w:color w:val="auto"/>
          <w:kern w:val="0"/>
          <w:sz w:val="24"/>
          <w:szCs w:val="24"/>
          <w:highlight w:val="none"/>
          <w:lang w:val="en-US" w:eastAsia="zh-CN" w:bidi="ar"/>
        </w:rPr>
        <w:t xml:space="preserve">生产设备，减少了废水污染物的产生和排放，符合环境准入要求。 </w:t>
      </w:r>
    </w:p>
    <w:p>
      <w:pPr>
        <w:keepNext w:val="0"/>
        <w:keepLines w:val="0"/>
        <w:widowControl/>
        <w:suppressLineNumbers w:val="0"/>
        <w:jc w:val="left"/>
        <w:rPr>
          <w:color w:val="auto"/>
          <w:highlight w:val="none"/>
        </w:rPr>
      </w:pPr>
      <w:r>
        <w:rPr>
          <w:rFonts w:hint="eastAsia" w:ascii="宋体" w:hAnsi="宋体" w:eastAsia="宋体" w:cs="宋体"/>
          <w:color w:val="auto"/>
          <w:kern w:val="0"/>
          <w:sz w:val="24"/>
          <w:szCs w:val="24"/>
          <w:highlight w:val="none"/>
          <w:lang w:val="en-US" w:eastAsia="zh-CN" w:bidi="ar"/>
        </w:rPr>
        <w:t>综上所述，项目选址和建设符合</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三线一单</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 xml:space="preserve">要求。 </w:t>
      </w:r>
    </w:p>
    <w:p>
      <w:pPr>
        <w:bidi w:val="0"/>
        <w:ind w:firstLine="1028"/>
        <w:rPr>
          <w:rFonts w:ascii="Times New Roman" w:hAnsi="Times New Roman" w:eastAsia="宋体" w:cs="Times New Roman"/>
          <w:color w:val="auto"/>
          <w:highlight w:val="none"/>
        </w:rPr>
      </w:pPr>
      <w:bookmarkStart w:id="50" w:name="_Toc3274"/>
      <w:bookmarkStart w:id="51" w:name="_Toc25648"/>
      <w:bookmarkStart w:id="52" w:name="_Toc27520"/>
      <w:bookmarkStart w:id="53" w:name="_Toc25709"/>
      <w:bookmarkStart w:id="54" w:name="_Toc15858"/>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1.3.</w:t>
      </w:r>
      <w:r>
        <w:rPr>
          <w:rFonts w:hint="eastAsia"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本项目与</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三线一单</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符合性</w:t>
      </w:r>
    </w:p>
    <w:tbl>
      <w:tblPr>
        <w:tblStyle w:val="23"/>
        <w:tblW w:w="92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8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blHeader/>
          <w:jc w:val="center"/>
        </w:trPr>
        <w:tc>
          <w:tcPr>
            <w:tcW w:w="729"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内容</w:t>
            </w:r>
          </w:p>
        </w:tc>
        <w:tc>
          <w:tcPr>
            <w:tcW w:w="8530"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5" w:hRule="atLeast"/>
          <w:jc w:val="center"/>
        </w:trPr>
        <w:tc>
          <w:tcPr>
            <w:tcW w:w="729"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生态</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保护</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红线</w:t>
            </w:r>
          </w:p>
        </w:tc>
        <w:tc>
          <w:tcPr>
            <w:tcW w:w="8530"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本项目厂址位于</w:t>
            </w:r>
            <w:r>
              <w:rPr>
                <w:rFonts w:hint="eastAsia" w:cs="Times New Roman"/>
                <w:color w:val="auto"/>
                <w:sz w:val="21"/>
                <w:szCs w:val="21"/>
                <w:highlight w:val="none"/>
                <w:lang w:val="en-US" w:eastAsia="zh-CN"/>
              </w:rPr>
              <w:t>黑龙江大同经济开发区纸业园区</w:t>
            </w:r>
            <w:r>
              <w:rPr>
                <w:rFonts w:hint="eastAsia" w:ascii="Times New Roman" w:hAnsi="Times New Roman" w:eastAsia="宋体" w:cs="Times New Roman"/>
                <w:color w:val="auto"/>
                <w:sz w:val="21"/>
                <w:szCs w:val="21"/>
                <w:highlight w:val="none"/>
                <w:lang w:val="en-US" w:eastAsia="zh-CN"/>
              </w:rPr>
              <w:t>，所在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因此本项目拟选厂址不在黑龙江省和大庆市生态保护红线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3" w:hRule="atLeast"/>
          <w:jc w:val="center"/>
        </w:trPr>
        <w:tc>
          <w:tcPr>
            <w:tcW w:w="729"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资源</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利用</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上限</w:t>
            </w:r>
          </w:p>
        </w:tc>
        <w:tc>
          <w:tcPr>
            <w:tcW w:w="8530"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本项目营运期将消耗一定的电源、水资源。土地资源：利用现有房屋进行建设，不新增占地面积。水资源：本项目用水主要为生产用水、生活用水。生产用水由院内自打井供给，生活用水由桶装水供给用量较少。</w:t>
            </w:r>
            <w:r>
              <w:rPr>
                <w:rFonts w:hint="eastAsia" w:cs="Times New Roman"/>
                <w:color w:val="auto"/>
                <w:sz w:val="21"/>
                <w:szCs w:val="21"/>
                <w:highlight w:val="none"/>
                <w:lang w:val="en-US" w:eastAsia="zh-CN"/>
              </w:rPr>
              <w:t>生活污水采取防渗旱厕收集，定期清掏还田。</w:t>
            </w:r>
            <w:r>
              <w:rPr>
                <w:rFonts w:hint="eastAsia" w:ascii="Times New Roman" w:hAnsi="Times New Roman" w:eastAsia="宋体" w:cs="Times New Roman"/>
                <w:color w:val="auto"/>
                <w:sz w:val="21"/>
                <w:szCs w:val="21"/>
                <w:highlight w:val="none"/>
                <w:lang w:val="en-US" w:eastAsia="zh-CN"/>
              </w:rPr>
              <w:t>生产用水排入院内污水处理系统，经处理后回用于生产。本项目工业用水重复利用率为</w:t>
            </w:r>
            <w:r>
              <w:rPr>
                <w:rFonts w:hint="eastAsia" w:cs="Times New Roman"/>
                <w:color w:val="auto"/>
                <w:sz w:val="21"/>
                <w:szCs w:val="21"/>
                <w:highlight w:val="none"/>
                <w:lang w:val="en-US" w:eastAsia="zh-CN"/>
              </w:rPr>
              <w:t>97</w:t>
            </w:r>
            <w:r>
              <w:rPr>
                <w:rFonts w:hint="eastAsia" w:ascii="Times New Roman" w:hAnsi="Times New Roman" w:eastAsia="宋体" w:cs="Times New Roman"/>
                <w:color w:val="auto"/>
                <w:sz w:val="21"/>
                <w:szCs w:val="21"/>
                <w:highlight w:val="none"/>
                <w:lang w:val="en-US" w:eastAsia="zh-CN"/>
              </w:rPr>
              <w:t>%，满足水资源利用上线要求；本项目以电为动力制浆造纸，能源利用效率高，能耗低。项目建成后，通过采取加强内部管理、优化设备运行、落实污染物治理等多方面措施，以“节能、降耗、减污”为目标，可有效控制污染物的排放和资源的消耗。项目电源、水资源的消耗相对于区域而言较小，符合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6" w:hRule="atLeast"/>
          <w:jc w:val="center"/>
        </w:trPr>
        <w:tc>
          <w:tcPr>
            <w:tcW w:w="729"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环境</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质量</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底线</w:t>
            </w:r>
          </w:p>
        </w:tc>
        <w:tc>
          <w:tcPr>
            <w:tcW w:w="8530"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处于环境空气质量达标区域。项目运营期排放的废气污染物能满足相应的排放标准限值要求，环境影响可以被接受；生产用水排入院内污水处理系统，经处理后回用于生产；本项目投产后厂界噪声满足《工业企业厂界环境噪声排放标准》（GB12348-2008）中的</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类排放限值要求。根据项目所在地环境质量现状调查和排放污染物的影响分析，本项目运营后对区域内环境影响较小，本项目建设符合环境质量底线要求。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4" w:hRule="atLeast"/>
          <w:jc w:val="center"/>
        </w:trPr>
        <w:tc>
          <w:tcPr>
            <w:tcW w:w="729"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生态环境准入清单</w:t>
            </w:r>
          </w:p>
        </w:tc>
        <w:tc>
          <w:tcPr>
            <w:tcW w:w="8530" w:type="dxa"/>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选址不在黑龙江省重点生态功能区内，所以不在《黑龙江省重点生态功能区产业准入负面清单（试行版）》要求范围内。本项目设置了有效的污染物排放控制和环境风险防控措施，符合《黑龙江省人民政府关于实施“三线一单”生态环境分区管控意见》（黑政发[2020]14号）的要求。</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根据《大庆市人民政府关于实施“三线一单”生态环境分区管控的意见</w:t>
            </w:r>
            <w:r>
              <w:rPr>
                <w:rFonts w:hint="eastAsia" w:ascii="Times New Roman" w:hAnsi="Times New Roman" w:eastAsia="宋体" w:cs="Times New Roman"/>
                <w:color w:val="auto"/>
                <w:sz w:val="21"/>
                <w:szCs w:val="21"/>
                <w:highlight w:val="none"/>
                <w:lang w:val="zh-CN" w:eastAsia="zh-CN"/>
              </w:rPr>
              <w:t>》（庆政规[2021]3号）中附表3中大同区生态环境准入清单，本项目为</w:t>
            </w:r>
            <w:r>
              <w:rPr>
                <w:rFonts w:hint="eastAsia" w:ascii="Times New Roman" w:hAnsi="Times New Roman" w:eastAsia="宋体" w:cs="Times New Roman"/>
                <w:color w:val="auto"/>
                <w:sz w:val="21"/>
                <w:szCs w:val="21"/>
                <w:highlight w:val="none"/>
                <w:lang w:val="en-US" w:eastAsia="zh-CN"/>
              </w:rPr>
              <w:t>造纸</w:t>
            </w:r>
            <w:r>
              <w:rPr>
                <w:rFonts w:hint="eastAsia" w:ascii="Times New Roman" w:hAnsi="Times New Roman" w:eastAsia="宋体" w:cs="Times New Roman"/>
                <w:color w:val="auto"/>
                <w:sz w:val="21"/>
                <w:szCs w:val="21"/>
                <w:highlight w:val="none"/>
                <w:lang w:val="zh-CN" w:eastAsia="zh-CN"/>
              </w:rPr>
              <w:t>项目，不属于高污染、高耗能的类型，属于环境准入允许类别。</w:t>
            </w:r>
          </w:p>
        </w:tc>
      </w:tr>
    </w:tbl>
    <w:p>
      <w:pPr>
        <w:bidi w:val="0"/>
        <w:rPr>
          <w:rFonts w:hint="eastAsia"/>
          <w:color w:val="auto"/>
          <w:highlight w:val="none"/>
          <w:lang w:val="en-US" w:eastAsia="zh-CN"/>
        </w:rPr>
      </w:pPr>
      <w:r>
        <w:rPr>
          <w:rFonts w:hint="eastAsia"/>
          <w:color w:val="auto"/>
          <w:highlight w:val="none"/>
          <w:lang w:eastAsia="zh-CN"/>
        </w:rPr>
        <w:t>根据</w:t>
      </w:r>
      <w:r>
        <w:rPr>
          <w:rFonts w:hint="eastAsia"/>
          <w:color w:val="auto"/>
          <w:highlight w:val="none"/>
        </w:rPr>
        <w:t>《大庆市人民政府关于实施</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生态环境分区管控的意见》</w:t>
      </w:r>
      <w:r>
        <w:rPr>
          <w:rFonts w:hint="eastAsia"/>
          <w:color w:val="auto"/>
          <w:highlight w:val="none"/>
          <w:lang w:eastAsia="zh-CN"/>
        </w:rPr>
        <w:t>（</w:t>
      </w:r>
      <w:r>
        <w:rPr>
          <w:rFonts w:hint="eastAsia"/>
          <w:color w:val="auto"/>
          <w:highlight w:val="none"/>
        </w:rPr>
        <w:t>庆政规[</w:t>
      </w:r>
      <w:r>
        <w:rPr>
          <w:color w:val="auto"/>
          <w:highlight w:val="none"/>
        </w:rPr>
        <w:t>2021]3</w:t>
      </w:r>
      <w:r>
        <w:rPr>
          <w:rFonts w:hint="eastAsia"/>
          <w:color w:val="auto"/>
          <w:highlight w:val="none"/>
        </w:rPr>
        <w:t>号）</w:t>
      </w:r>
      <w:r>
        <w:rPr>
          <w:rFonts w:hint="eastAsia"/>
          <w:color w:val="auto"/>
          <w:highlight w:val="none"/>
          <w:lang w:eastAsia="zh-CN"/>
        </w:rPr>
        <w:t>，详见附图</w:t>
      </w:r>
      <w:r>
        <w:rPr>
          <w:rFonts w:hint="eastAsia"/>
          <w:color w:val="auto"/>
          <w:highlight w:val="none"/>
          <w:lang w:val="en-US" w:eastAsia="zh-CN"/>
        </w:rPr>
        <w:t>3，</w:t>
      </w:r>
      <w:r>
        <w:rPr>
          <w:rFonts w:hint="eastAsia"/>
          <w:color w:val="auto"/>
          <w:highlight w:val="none"/>
        </w:rPr>
        <w:t>拟建项目位于黑龙江</w:t>
      </w:r>
      <w:r>
        <w:rPr>
          <w:rFonts w:hint="eastAsia"/>
          <w:color w:val="auto"/>
          <w:highlight w:val="none"/>
          <w:lang w:eastAsia="zh-CN"/>
        </w:rPr>
        <w:t>大同区</w:t>
      </w:r>
      <w:r>
        <w:rPr>
          <w:color w:val="auto"/>
          <w:highlight w:val="none"/>
        </w:rPr>
        <w:t>其他区域</w:t>
      </w:r>
      <w:r>
        <w:rPr>
          <w:rFonts w:hint="eastAsia"/>
          <w:color w:val="auto"/>
          <w:highlight w:val="none"/>
          <w:lang w:eastAsia="zh-CN"/>
        </w:rPr>
        <w:t>的一般管控单元</w:t>
      </w:r>
      <w:r>
        <w:rPr>
          <w:rFonts w:hint="eastAsia"/>
          <w:color w:val="auto"/>
          <w:highlight w:val="none"/>
        </w:rPr>
        <w:t>，详见表</w:t>
      </w:r>
      <w:r>
        <w:rPr>
          <w:rFonts w:hint="eastAsia"/>
          <w:color w:val="auto"/>
          <w:highlight w:val="none"/>
          <w:lang w:val="en-US" w:eastAsia="zh-CN"/>
        </w:rPr>
        <w:t>1.3.2-2</w:t>
      </w:r>
      <w:r>
        <w:rPr>
          <w:rFonts w:hint="eastAsia"/>
          <w:color w:val="auto"/>
          <w:highlight w:val="none"/>
        </w:rPr>
        <w:t>。</w:t>
      </w:r>
    </w:p>
    <w:p>
      <w:pPr>
        <w:bidi w:val="0"/>
        <w:rPr>
          <w:rFonts w:hint="default"/>
          <w:color w:val="auto"/>
          <w:highlight w:val="none"/>
          <w:lang w:val="en-US" w:eastAsia="zh-CN"/>
        </w:rPr>
      </w:pPr>
      <w:r>
        <w:rPr>
          <w:rFonts w:hint="eastAsia"/>
          <w:color w:val="auto"/>
          <w:highlight w:val="none"/>
        </w:rPr>
        <w:t>表</w:t>
      </w:r>
      <w:r>
        <w:rPr>
          <w:rFonts w:hint="eastAsia"/>
          <w:color w:val="auto"/>
          <w:highlight w:val="none"/>
          <w:lang w:val="en-US" w:eastAsia="zh-CN"/>
        </w:rPr>
        <w:t>1.3.2-2</w:t>
      </w:r>
      <w:r>
        <w:rPr>
          <w:rFonts w:hint="eastAsia"/>
          <w:color w:val="auto"/>
          <w:highlight w:val="none"/>
        </w:rPr>
        <w:t xml:space="preserve">   </w:t>
      </w:r>
      <w:r>
        <w:rPr>
          <w:rFonts w:hint="eastAsia"/>
          <w:color w:val="auto"/>
          <w:highlight w:val="none"/>
          <w:lang w:val="en-US" w:eastAsia="zh-CN"/>
        </w:rPr>
        <w:t xml:space="preserve">         </w:t>
      </w:r>
      <w:r>
        <w:rPr>
          <w:rFonts w:hint="eastAsia"/>
          <w:color w:val="auto"/>
          <w:highlight w:val="none"/>
        </w:rPr>
        <w:t>大庆市生态环境准入清单符合性分析</w:t>
      </w:r>
    </w:p>
    <w:tbl>
      <w:tblPr>
        <w:tblStyle w:val="23"/>
        <w:tblW w:w="9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819"/>
        <w:gridCol w:w="703"/>
        <w:gridCol w:w="587"/>
        <w:gridCol w:w="3159"/>
        <w:gridCol w:w="2220"/>
        <w:gridCol w:w="5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16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管控单元编码</w:t>
            </w:r>
          </w:p>
        </w:tc>
        <w:tc>
          <w:tcPr>
            <w:tcW w:w="81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环境管控单元名称</w:t>
            </w:r>
          </w:p>
        </w:tc>
        <w:tc>
          <w:tcPr>
            <w:tcW w:w="70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管控单元类别</w:t>
            </w:r>
          </w:p>
        </w:tc>
        <w:tc>
          <w:tcPr>
            <w:tcW w:w="3746"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管控要求</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拟建项目情况</w:t>
            </w:r>
          </w:p>
        </w:tc>
        <w:tc>
          <w:tcPr>
            <w:tcW w:w="52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9" w:hRule="atLeast"/>
          <w:jc w:val="center"/>
        </w:trPr>
        <w:tc>
          <w:tcPr>
            <w:tcW w:w="16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ZH23062230002</w:t>
            </w:r>
          </w:p>
        </w:tc>
        <w:tc>
          <w:tcPr>
            <w:tcW w:w="81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其他区域</w:t>
            </w:r>
          </w:p>
        </w:tc>
        <w:tc>
          <w:tcPr>
            <w:tcW w:w="70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一般管控单元</w:t>
            </w:r>
          </w:p>
        </w:tc>
        <w:tc>
          <w:tcPr>
            <w:tcW w:w="58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空间布局</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约束</w:t>
            </w:r>
          </w:p>
        </w:tc>
        <w:tc>
          <w:tcPr>
            <w:tcW w:w="31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贯彻实施国家与黑龙江省大气、水污染相关各项标准，深化重点行业污染治理，推进国家和地方确定的各项产业结构调整措施。</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引导工业项目向开发区集中，促进产业集聚、资源集约、绿色发展。对电力、钢铁、建材、有色、化工、石油石化、煤炭、印染等行业中，环保、能耗等不达标或生产、使用淘汰类产品的企业和产能，依法依规改造升级或有序退出。</w:t>
            </w:r>
          </w:p>
        </w:tc>
        <w:tc>
          <w:tcPr>
            <w:tcW w:w="222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en-US" w:eastAsia="zh-CN"/>
              </w:rPr>
              <w:t>本项目不属于</w:t>
            </w:r>
            <w:r>
              <w:rPr>
                <w:rFonts w:hint="eastAsia" w:ascii="Times New Roman" w:hAnsi="Times New Roman" w:eastAsia="宋体" w:cs="Times New Roman"/>
                <w:color w:val="auto"/>
                <w:sz w:val="21"/>
                <w:szCs w:val="21"/>
                <w:highlight w:val="none"/>
                <w:lang w:val="zh-CN" w:eastAsia="zh-CN"/>
              </w:rPr>
              <w:t>钢铁、水泥、电解铝</w:t>
            </w:r>
            <w:r>
              <w:rPr>
                <w:rFonts w:hint="eastAsia" w:ascii="Times New Roman" w:hAnsi="Times New Roman" w:eastAsia="宋体" w:cs="Times New Roman"/>
                <w:color w:val="auto"/>
                <w:sz w:val="21"/>
                <w:szCs w:val="21"/>
                <w:highlight w:val="none"/>
                <w:lang w:val="en-US" w:eastAsia="zh-CN"/>
              </w:rPr>
              <w:t>等</w:t>
            </w:r>
            <w:r>
              <w:rPr>
                <w:rFonts w:hint="eastAsia" w:ascii="Times New Roman" w:hAnsi="Times New Roman" w:eastAsia="宋体" w:cs="Times New Roman"/>
                <w:color w:val="auto"/>
                <w:sz w:val="21"/>
                <w:szCs w:val="21"/>
                <w:highlight w:val="none"/>
                <w:lang w:val="zh-CN" w:eastAsia="zh-CN"/>
              </w:rPr>
              <w:t>产能严重过剩行业，不属于电力、钢铁、建材、有色、化工、石油石化、煤炭、印染等行业中环保、能耗不达标或生产、使用淘汰类产品的企业。</w:t>
            </w:r>
          </w:p>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p>
        </w:tc>
        <w:tc>
          <w:tcPr>
            <w:tcW w:w="52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zh-CN" w:eastAsia="zh-CN"/>
              </w:rPr>
              <w:t>符合</w:t>
            </w:r>
          </w:p>
        </w:tc>
      </w:tr>
    </w:tbl>
    <w:p>
      <w:pPr>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cs="Times New Roman"/>
          <w:b/>
          <w:bCs/>
          <w:color w:val="auto"/>
          <w:sz w:val="28"/>
          <w:szCs w:val="21"/>
          <w:highlight w:val="none"/>
          <w:lang w:val="en-US" w:bidi="ar-SA"/>
        </w:rPr>
      </w:pPr>
      <w:bookmarkStart w:id="55" w:name="_Toc30515"/>
      <w:bookmarkStart w:id="56" w:name="_Toc29245"/>
      <w:r>
        <w:rPr>
          <w:rFonts w:hint="eastAsia" w:ascii="Times New Roman" w:hAnsi="Times New Roman" w:cs="Times New Roman"/>
          <w:b/>
          <w:bCs/>
          <w:color w:val="auto"/>
          <w:sz w:val="28"/>
          <w:szCs w:val="21"/>
          <w:highlight w:val="none"/>
          <w:lang w:val="en-US" w:eastAsia="zh-CN" w:bidi="ar-SA"/>
        </w:rPr>
        <w:t>1.3.3</w:t>
      </w:r>
      <w:r>
        <w:rPr>
          <w:rFonts w:ascii="Times New Roman" w:hAnsi="Times New Roman" w:cs="Times New Roman"/>
          <w:b/>
          <w:bCs/>
          <w:color w:val="auto"/>
          <w:sz w:val="28"/>
          <w:szCs w:val="21"/>
          <w:highlight w:val="none"/>
          <w:lang w:val="en-US" w:bidi="ar-SA"/>
        </w:rPr>
        <w:t>选址合理性分析</w:t>
      </w:r>
      <w:bookmarkEnd w:id="55"/>
    </w:p>
    <w:p>
      <w:pPr>
        <w:bidi w:val="0"/>
        <w:rPr>
          <w:color w:val="auto"/>
          <w:highlight w:val="none"/>
        </w:rPr>
      </w:pPr>
      <w:r>
        <w:rPr>
          <w:color w:val="auto"/>
          <w:highlight w:val="none"/>
        </w:rPr>
        <w:t>本项目位于</w:t>
      </w:r>
      <w:r>
        <w:rPr>
          <w:rFonts w:hint="eastAsia"/>
          <w:color w:val="auto"/>
          <w:highlight w:val="none"/>
          <w:lang w:eastAsia="zh-CN"/>
        </w:rPr>
        <w:t>黑龙江大同经济开发区纸业园区</w:t>
      </w:r>
      <w:r>
        <w:rPr>
          <w:color w:val="auto"/>
          <w:highlight w:val="none"/>
        </w:rPr>
        <w:t>，</w:t>
      </w:r>
      <w:r>
        <w:rPr>
          <w:rFonts w:hint="eastAsia"/>
          <w:color w:val="auto"/>
          <w:highlight w:val="none"/>
          <w:lang w:eastAsia="zh-CN"/>
        </w:rPr>
        <w:t>利用原有厂址进行</w:t>
      </w:r>
      <w:r>
        <w:rPr>
          <w:rFonts w:hint="eastAsia"/>
          <w:color w:val="auto"/>
          <w:highlight w:val="none"/>
          <w:lang w:val="en-US" w:eastAsia="zh-CN"/>
        </w:rPr>
        <w:t>改造</w:t>
      </w:r>
      <w:r>
        <w:rPr>
          <w:color w:val="auto"/>
          <w:highlight w:val="none"/>
        </w:rPr>
        <w:t>，项目东侧</w:t>
      </w:r>
      <w:r>
        <w:rPr>
          <w:rFonts w:hint="eastAsia"/>
          <w:color w:val="auto"/>
          <w:highlight w:val="none"/>
          <w:lang w:eastAsia="zh-CN"/>
        </w:rPr>
        <w:t>为大庆宏亚纸业有限公司，</w:t>
      </w:r>
      <w:r>
        <w:rPr>
          <w:color w:val="auto"/>
          <w:highlight w:val="none"/>
        </w:rPr>
        <w:t>西侧</w:t>
      </w:r>
      <w:r>
        <w:rPr>
          <w:rFonts w:hint="eastAsia"/>
          <w:color w:val="auto"/>
          <w:highlight w:val="none"/>
          <w:lang w:eastAsia="zh-CN"/>
        </w:rPr>
        <w:t>为</w:t>
      </w:r>
      <w:r>
        <w:rPr>
          <w:rFonts w:hint="eastAsia"/>
          <w:color w:val="auto"/>
          <w:highlight w:val="none"/>
        </w:rPr>
        <w:t>福庆纸业</w:t>
      </w:r>
      <w:r>
        <w:rPr>
          <w:rFonts w:hint="eastAsia"/>
          <w:color w:val="auto"/>
          <w:highlight w:val="none"/>
          <w:lang w:eastAsia="zh-CN"/>
        </w:rPr>
        <w:t>有限公司</w:t>
      </w:r>
      <w:r>
        <w:rPr>
          <w:color w:val="auto"/>
          <w:highlight w:val="none"/>
        </w:rPr>
        <w:t>，北侧为</w:t>
      </w:r>
      <w:r>
        <w:rPr>
          <w:rFonts w:hint="eastAsia"/>
          <w:color w:val="auto"/>
          <w:highlight w:val="none"/>
        </w:rPr>
        <w:t>德昌伟业</w:t>
      </w:r>
      <w:r>
        <w:rPr>
          <w:rFonts w:hint="eastAsia"/>
          <w:color w:val="auto"/>
          <w:highlight w:val="none"/>
          <w:lang w:eastAsia="zh-CN"/>
        </w:rPr>
        <w:t>化工有限公司</w:t>
      </w:r>
      <w:r>
        <w:rPr>
          <w:color w:val="auto"/>
          <w:highlight w:val="none"/>
        </w:rPr>
        <w:t>，南侧为空地。项目所在地水、电资源较为丰富，交通便利，有利于企业的运营及发展。在采取本报告书中所提污染防治措施情况下，各项污染物均可达标排放，其对外环境影响</w:t>
      </w:r>
      <w:r>
        <w:rPr>
          <w:rFonts w:hint="eastAsia"/>
          <w:color w:val="auto"/>
          <w:highlight w:val="none"/>
          <w:lang w:eastAsia="zh-CN"/>
        </w:rPr>
        <w:t>较小</w:t>
      </w:r>
      <w:r>
        <w:rPr>
          <w:color w:val="auto"/>
          <w:highlight w:val="none"/>
        </w:rPr>
        <w:t>，可被外环境所接受。</w:t>
      </w:r>
    </w:p>
    <w:p>
      <w:pPr>
        <w:bidi w:val="0"/>
        <w:rPr>
          <w:color w:val="auto"/>
          <w:highlight w:val="none"/>
        </w:rPr>
      </w:pPr>
      <w:r>
        <w:rPr>
          <w:rFonts w:hint="eastAsia"/>
          <w:color w:val="auto"/>
          <w:highlight w:val="none"/>
          <w:lang w:eastAsia="zh-CN"/>
        </w:rPr>
        <w:t>大庆市李氏纸业制造有限责任公司</w:t>
      </w:r>
      <w:r>
        <w:rPr>
          <w:rFonts w:hint="eastAsia"/>
          <w:color w:val="auto"/>
          <w:highlight w:val="none"/>
          <w:lang w:val="en-US" w:eastAsia="zh-CN"/>
        </w:rPr>
        <w:t>通过技术改造，在不扩大生产规模的基础上，拟生产</w:t>
      </w:r>
      <w:r>
        <w:rPr>
          <w:rFonts w:hint="default"/>
          <w:color w:val="auto"/>
          <w:highlight w:val="none"/>
          <w:lang w:val="en-US" w:eastAsia="zh-CN"/>
        </w:rPr>
        <w:t>10000t/a</w:t>
      </w:r>
      <w:r>
        <w:rPr>
          <w:rFonts w:hint="eastAsia"/>
          <w:color w:val="auto"/>
          <w:highlight w:val="none"/>
          <w:lang w:val="en-US" w:eastAsia="zh-CN"/>
        </w:rPr>
        <w:t>薄页纸和纸板，</w:t>
      </w:r>
      <w:r>
        <w:rPr>
          <w:rFonts w:hint="eastAsia"/>
          <w:color w:val="auto"/>
          <w:highlight w:val="none"/>
        </w:rPr>
        <w:t>根据《制浆造纸建设项目环境影响评价文件审批原则</w:t>
      </w:r>
      <w:r>
        <w:rPr>
          <w:rFonts w:hint="eastAsia"/>
          <w:color w:val="auto"/>
          <w:highlight w:val="none"/>
          <w:lang w:eastAsia="zh-CN"/>
        </w:rPr>
        <w:t>（</w:t>
      </w:r>
      <w:r>
        <w:rPr>
          <w:rFonts w:hint="eastAsia"/>
          <w:color w:val="auto"/>
          <w:highlight w:val="none"/>
        </w:rPr>
        <w:t>试行）》，第三条：</w:t>
      </w:r>
      <w:r>
        <w:rPr>
          <w:color w:val="auto"/>
          <w:highlight w:val="none"/>
        </w:rPr>
        <w:t>新建、扩建项目应位于产业园区，并符合园区规划及规划环境影响评价要求</w:t>
      </w:r>
      <w:r>
        <w:rPr>
          <w:rFonts w:hint="eastAsia"/>
          <w:color w:val="auto"/>
          <w:highlight w:val="none"/>
        </w:rPr>
        <w:t>；</w:t>
      </w:r>
      <w:r>
        <w:rPr>
          <w:color w:val="auto"/>
          <w:highlight w:val="none"/>
        </w:rPr>
        <w:t>原则上避开居民集中区、医院、学校等环境敏感区。不予批准位于自然保护区、风景名胜区、饮用水水源保护区、永久基本农田等环境敏感区的项目和严重缺水地区、城市建成区内的新建、扩建项目。原料林基地工程选址避开水土流失重点防治区、生态公益林、饮用水水源保护区等环境敏感区域，严重缺水地区禁止建设灌溉型林基地工程。</w:t>
      </w:r>
    </w:p>
    <w:p>
      <w:pPr>
        <w:bidi w:val="0"/>
        <w:rPr>
          <w:rFonts w:hint="default"/>
          <w:color w:val="auto"/>
          <w:highlight w:val="none"/>
        </w:rPr>
      </w:pPr>
      <w:r>
        <w:rPr>
          <w:rFonts w:hint="default"/>
          <w:color w:val="auto"/>
          <w:highlight w:val="none"/>
        </w:rPr>
        <w:t>本项目选址位于</w:t>
      </w:r>
      <w:r>
        <w:rPr>
          <w:rFonts w:hint="eastAsia"/>
          <w:color w:val="auto"/>
          <w:highlight w:val="none"/>
          <w:lang w:val="en-US" w:eastAsia="zh-CN"/>
        </w:rPr>
        <w:t>黑龙江大同经济开发区纸业园区</w:t>
      </w:r>
      <w:r>
        <w:rPr>
          <w:rFonts w:hint="default"/>
          <w:color w:val="auto"/>
          <w:highlight w:val="none"/>
        </w:rPr>
        <w:t>，</w:t>
      </w:r>
      <w:r>
        <w:rPr>
          <w:rFonts w:hint="eastAsia"/>
          <w:color w:val="auto"/>
          <w:highlight w:val="none"/>
          <w:lang w:eastAsia="zh-CN"/>
        </w:rPr>
        <w:t>纸业园区</w:t>
      </w:r>
      <w:r>
        <w:rPr>
          <w:rFonts w:hint="default"/>
          <w:color w:val="auto"/>
          <w:highlight w:val="none"/>
        </w:rPr>
        <w:t>主要以</w:t>
      </w:r>
      <w:r>
        <w:rPr>
          <w:rFonts w:hint="eastAsia"/>
          <w:color w:val="auto"/>
          <w:highlight w:val="none"/>
          <w:lang w:eastAsia="zh-CN"/>
        </w:rPr>
        <w:t>纸业发展</w:t>
      </w:r>
      <w:r>
        <w:rPr>
          <w:rFonts w:hint="default"/>
          <w:color w:val="auto"/>
          <w:highlight w:val="none"/>
        </w:rPr>
        <w:t>为主，</w:t>
      </w:r>
      <w:r>
        <w:rPr>
          <w:rFonts w:hint="eastAsia"/>
          <w:color w:val="auto"/>
          <w:highlight w:val="none"/>
          <w:lang w:val="en-US" w:eastAsia="zh-CN"/>
        </w:rPr>
        <w:t>本项目为造纸项目，</w:t>
      </w:r>
      <w:r>
        <w:rPr>
          <w:rFonts w:hint="default"/>
          <w:color w:val="auto"/>
          <w:highlight w:val="none"/>
        </w:rPr>
        <w:t>符合园区产业发展方向和总体规划。项目所在区域内无居民集中区、医院、学校等环境敏感目标，无国家法律、法规、规章和规划确定或县级及以上人民政府规定的自然保护区、风景名胜名、饮用水源保护区、基本农田保护区和其他需要特别保护的区域内。</w:t>
      </w:r>
    </w:p>
    <w:p>
      <w:pPr>
        <w:bidi w:val="0"/>
        <w:rPr>
          <w:rFonts w:hint="default" w:eastAsia="宋体"/>
          <w:color w:val="auto"/>
          <w:highlight w:val="none"/>
          <w:lang w:val="en-US" w:eastAsia="zh-CN"/>
        </w:rPr>
      </w:pPr>
      <w:r>
        <w:rPr>
          <w:rFonts w:hint="default"/>
          <w:color w:val="auto"/>
          <w:highlight w:val="none"/>
        </w:rPr>
        <w:t>综上所述，本项目选址合理。</w:t>
      </w:r>
    </w:p>
    <w:p>
      <w:pPr>
        <w:pStyle w:val="6"/>
        <w:keepNext/>
        <w:keepLines/>
        <w:autoSpaceDE/>
        <w:autoSpaceDN/>
        <w:bidi w:val="0"/>
        <w:spacing w:before="0" w:after="0" w:line="500" w:lineRule="exact"/>
        <w:ind w:left="0" w:right="0" w:firstLine="0" w:firstLineChars="0"/>
        <w:jc w:val="both"/>
        <w:outlineLvl w:val="1"/>
        <w:rPr>
          <w:rFonts w:ascii="Times New Roman" w:hAnsi="Times New Roman" w:cs="Times New Roman"/>
          <w:bCs w:val="0"/>
          <w:color w:val="auto"/>
          <w:kern w:val="2"/>
          <w:szCs w:val="20"/>
          <w:highlight w:val="none"/>
          <w:lang w:val="en-US" w:bidi="ar-SA"/>
        </w:rPr>
      </w:pPr>
      <w:bookmarkStart w:id="57" w:name="_Toc12677"/>
      <w:r>
        <w:rPr>
          <w:rFonts w:ascii="Times New Roman" w:hAnsi="Times New Roman" w:cs="Times New Roman"/>
          <w:bCs w:val="0"/>
          <w:color w:val="auto"/>
          <w:kern w:val="2"/>
          <w:szCs w:val="20"/>
          <w:highlight w:val="none"/>
          <w:lang w:val="en-US" w:bidi="ar-SA"/>
        </w:rPr>
        <w:t>1.</w:t>
      </w:r>
      <w:r>
        <w:rPr>
          <w:rFonts w:hint="eastAsia" w:ascii="Times New Roman" w:hAnsi="Times New Roman" w:cs="Times New Roman"/>
          <w:bCs w:val="0"/>
          <w:color w:val="auto"/>
          <w:kern w:val="2"/>
          <w:szCs w:val="20"/>
          <w:highlight w:val="none"/>
          <w:lang w:val="en-US" w:eastAsia="zh-CN" w:bidi="ar-SA"/>
        </w:rPr>
        <w:t>4关注的</w:t>
      </w:r>
      <w:r>
        <w:rPr>
          <w:rFonts w:ascii="Times New Roman" w:hAnsi="Times New Roman" w:cs="Times New Roman"/>
          <w:bCs w:val="0"/>
          <w:color w:val="auto"/>
          <w:kern w:val="2"/>
          <w:szCs w:val="20"/>
          <w:highlight w:val="none"/>
          <w:lang w:val="en-US" w:bidi="ar-SA"/>
        </w:rPr>
        <w:t>主要环境问题及环境影响</w:t>
      </w:r>
      <w:bookmarkEnd w:id="50"/>
      <w:bookmarkEnd w:id="51"/>
      <w:bookmarkEnd w:id="52"/>
      <w:bookmarkEnd w:id="53"/>
      <w:bookmarkEnd w:id="54"/>
      <w:bookmarkEnd w:id="56"/>
      <w:bookmarkEnd w:id="57"/>
    </w:p>
    <w:p>
      <w:pPr>
        <w:bidi w:val="0"/>
        <w:rPr>
          <w:rFonts w:hint="eastAsia"/>
          <w:color w:val="auto"/>
          <w:highlight w:val="none"/>
          <w:lang w:eastAsia="zh-CN"/>
        </w:rPr>
      </w:pPr>
      <w:bookmarkStart w:id="58" w:name="_Toc14935"/>
      <w:bookmarkStart w:id="59" w:name="_Toc15967"/>
      <w:bookmarkStart w:id="60" w:name="_Toc9438"/>
      <w:bookmarkStart w:id="61" w:name="_Toc24397"/>
      <w:bookmarkStart w:id="62" w:name="_Toc23205"/>
      <w:r>
        <w:rPr>
          <w:rFonts w:hint="eastAsia" w:ascii="宋体" w:hAnsi="Times New Roman" w:eastAsia="宋体" w:cs="Times New Roman"/>
          <w:color w:val="auto"/>
          <w:highlight w:val="none"/>
          <w:lang w:eastAsia="zh-CN"/>
        </w:rPr>
        <w:t>根据国家和地方各级环境保护方针、政策及其环境管理要求，结合项目生产特点、区域环境问题和影响因素，本次评价以工程分析为基础，以水环境、环境空气影响分析、污染防治措施可行性分析、选址可行性分析为重点，注重污染物达标排放分析、环保措施技术可行性分析，提出合理的减轻环境影响的对策及建议。</w:t>
      </w:r>
    </w:p>
    <w:p>
      <w:pPr>
        <w:bidi w:val="0"/>
        <w:rPr>
          <w:rFonts w:hint="eastAsia"/>
          <w:color w:val="auto"/>
          <w:highlight w:val="none"/>
          <w:lang w:eastAsia="zh-CN"/>
        </w:rPr>
      </w:pPr>
      <w:r>
        <w:rPr>
          <w:rFonts w:hint="eastAsia"/>
          <w:color w:val="auto"/>
          <w:highlight w:val="none"/>
          <w:lang w:eastAsia="zh-CN"/>
        </w:rPr>
        <w:t>项目存在的环境影响问题包括：项目运营期废水、废气、噪声、固废等。</w:t>
      </w:r>
    </w:p>
    <w:p>
      <w:pPr>
        <w:bidi w:val="0"/>
        <w:rPr>
          <w:rFonts w:hint="eastAsia"/>
          <w:color w:val="auto"/>
          <w:highlight w:val="none"/>
          <w:lang w:eastAsia="zh-CN"/>
        </w:rPr>
      </w:pPr>
      <w:r>
        <w:rPr>
          <w:rFonts w:hint="eastAsia"/>
          <w:color w:val="auto"/>
          <w:highlight w:val="none"/>
          <w:lang w:eastAsia="zh-CN"/>
        </w:rPr>
        <w:t>（1）废水：主要为生产工艺废水、生活污水、</w:t>
      </w:r>
      <w:r>
        <w:rPr>
          <w:rFonts w:hint="eastAsia"/>
          <w:color w:val="auto"/>
          <w:highlight w:val="none"/>
          <w:lang w:val="en-US" w:eastAsia="zh-CN"/>
        </w:rPr>
        <w:t>锅炉排污水</w:t>
      </w:r>
      <w:r>
        <w:rPr>
          <w:rFonts w:hint="eastAsia"/>
          <w:color w:val="auto"/>
          <w:highlight w:val="none"/>
          <w:lang w:eastAsia="zh-CN"/>
        </w:rPr>
        <w:t>等。</w:t>
      </w:r>
    </w:p>
    <w:p>
      <w:pPr>
        <w:bidi w:val="0"/>
        <w:rPr>
          <w:rFonts w:hint="eastAsia"/>
          <w:color w:val="auto"/>
          <w:highlight w:val="none"/>
          <w:lang w:eastAsia="zh-CN"/>
        </w:rPr>
      </w:pPr>
      <w:r>
        <w:rPr>
          <w:rFonts w:hint="eastAsia"/>
          <w:color w:val="auto"/>
          <w:highlight w:val="none"/>
          <w:lang w:eastAsia="zh-CN"/>
        </w:rPr>
        <w:t>（2）废气：主要为锅炉烟气、污水处理站废气等。</w:t>
      </w:r>
    </w:p>
    <w:p>
      <w:pPr>
        <w:bidi w:val="0"/>
        <w:rPr>
          <w:rFonts w:hint="eastAsia"/>
          <w:color w:val="auto"/>
          <w:highlight w:val="none"/>
          <w:lang w:eastAsia="zh-CN"/>
        </w:rPr>
      </w:pPr>
      <w:r>
        <w:rPr>
          <w:rFonts w:hint="eastAsia"/>
          <w:color w:val="auto"/>
          <w:highlight w:val="none"/>
          <w:lang w:eastAsia="zh-CN"/>
        </w:rPr>
        <w:t>（3）噪声：主要是各种泵、风机等的机械噪声。</w:t>
      </w:r>
    </w:p>
    <w:p>
      <w:pPr>
        <w:bidi w:val="0"/>
        <w:rPr>
          <w:rFonts w:hint="eastAsia"/>
          <w:color w:val="auto"/>
          <w:highlight w:val="none"/>
          <w:lang w:eastAsia="zh-CN"/>
        </w:rPr>
      </w:pPr>
      <w:r>
        <w:rPr>
          <w:rFonts w:hint="eastAsia"/>
          <w:color w:val="auto"/>
          <w:highlight w:val="none"/>
          <w:lang w:eastAsia="zh-CN"/>
        </w:rPr>
        <w:t>（4）固废：包括可回收利用部分、不可利用废料、危险废物及生活垃圾。</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val="en-US" w:eastAsia="zh-CN"/>
        </w:rPr>
        <w:t>1.4.1</w:t>
      </w:r>
      <w:r>
        <w:rPr>
          <w:rFonts w:hint="eastAsia" w:ascii="宋体" w:hAnsi="Times New Roman" w:eastAsia="宋体" w:cs="Times New Roman"/>
          <w:color w:val="auto"/>
          <w:highlight w:val="none"/>
          <w:lang w:eastAsia="zh-CN"/>
        </w:rPr>
        <w:t>对地表水环境的影响</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1</w:t>
      </w:r>
      <w:r>
        <w:rPr>
          <w:rFonts w:hint="eastAsia" w:ascii="宋体" w:hAnsi="Times New Roman" w:eastAsia="宋体" w:cs="Times New Roman"/>
          <w:color w:val="auto"/>
          <w:highlight w:val="none"/>
          <w:lang w:eastAsia="zh-CN"/>
        </w:rPr>
        <w:t>）生产废水，本项目工艺废水、地面冲洗水</w:t>
      </w:r>
      <w:r>
        <w:rPr>
          <w:rFonts w:hint="eastAsia" w:ascii="宋体" w:hAnsi="Times New Roman" w:eastAsia="宋体" w:cs="Times New Roman"/>
          <w:color w:val="auto"/>
          <w:highlight w:val="none"/>
          <w:lang w:val="en-US" w:eastAsia="zh-CN"/>
        </w:rPr>
        <w:t>输送至</w:t>
      </w:r>
      <w:r>
        <w:rPr>
          <w:rFonts w:hint="eastAsia" w:ascii="宋体" w:hAnsi="Times New Roman" w:eastAsia="宋体" w:cs="Times New Roman"/>
          <w:color w:val="auto"/>
          <w:highlight w:val="none"/>
          <w:lang w:eastAsia="zh-CN"/>
        </w:rPr>
        <w:t>厂内污水处理站</w:t>
      </w:r>
      <w:r>
        <w:rPr>
          <w:rFonts w:hint="eastAsia" w:ascii="宋体" w:hAnsi="Times New Roman" w:eastAsia="宋体" w:cs="Times New Roman"/>
          <w:color w:val="auto"/>
          <w:highlight w:val="none"/>
          <w:lang w:val="en-US" w:eastAsia="zh-CN"/>
        </w:rPr>
        <w:t>处理</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污水处理站</w:t>
      </w:r>
      <w:r>
        <w:rPr>
          <w:rFonts w:hint="eastAsia" w:ascii="宋体" w:hAnsi="Times New Roman" w:eastAsia="宋体" w:cs="Times New Roman"/>
          <w:color w:val="auto"/>
          <w:highlight w:val="none"/>
          <w:lang w:eastAsia="zh-CN"/>
        </w:rPr>
        <w:t>采用“</w:t>
      </w:r>
      <w:r>
        <w:rPr>
          <w:rFonts w:hint="eastAsia" w:ascii="宋体" w:hAnsi="Times New Roman" w:eastAsia="宋体" w:cs="Times New Roman"/>
          <w:color w:val="auto"/>
          <w:highlight w:val="none"/>
          <w:lang w:val="en-US" w:eastAsia="zh-CN"/>
        </w:rPr>
        <w:t>气浮+A/O生化+沉淀</w:t>
      </w:r>
      <w:r>
        <w:rPr>
          <w:rFonts w:hint="eastAsia" w:ascii="宋体" w:hAnsi="Times New Roman" w:eastAsia="宋体" w:cs="Times New Roman"/>
          <w:color w:val="auto"/>
          <w:highlight w:val="none"/>
          <w:lang w:eastAsia="zh-CN"/>
        </w:rPr>
        <w:t>”处理工艺，废水经处理后全部回用于</w:t>
      </w:r>
      <w:r>
        <w:rPr>
          <w:rFonts w:hint="eastAsia" w:ascii="宋体" w:hAnsi="Times New Roman" w:eastAsia="宋体" w:cs="Times New Roman"/>
          <w:color w:val="auto"/>
          <w:highlight w:val="none"/>
          <w:lang w:val="en-US" w:eastAsia="zh-CN"/>
        </w:rPr>
        <w:t>生产</w:t>
      </w:r>
      <w:r>
        <w:rPr>
          <w:rFonts w:hint="eastAsia" w:ascii="宋体" w:hAnsi="Times New Roman" w:eastAsia="宋体" w:cs="Times New Roman"/>
          <w:color w:val="auto"/>
          <w:highlight w:val="none"/>
          <w:lang w:eastAsia="zh-CN"/>
        </w:rPr>
        <w:t>，不外排。</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2</w:t>
      </w:r>
      <w:r>
        <w:rPr>
          <w:rFonts w:hint="eastAsia" w:ascii="宋体" w:hAnsi="Times New Roman" w:eastAsia="宋体" w:cs="Times New Roman"/>
          <w:color w:val="auto"/>
          <w:highlight w:val="none"/>
          <w:lang w:eastAsia="zh-CN"/>
        </w:rPr>
        <w:t>）生活污水，本项目施工期、运行期生活污水排入</w:t>
      </w:r>
      <w:r>
        <w:rPr>
          <w:rFonts w:hint="eastAsia" w:ascii="宋体" w:hAnsi="Times New Roman" w:eastAsia="宋体" w:cs="Times New Roman"/>
          <w:color w:val="auto"/>
          <w:highlight w:val="none"/>
          <w:lang w:val="en-US" w:eastAsia="zh-CN"/>
        </w:rPr>
        <w:t>防渗旱厕</w:t>
      </w:r>
      <w:r>
        <w:rPr>
          <w:rFonts w:hint="eastAsia" w:ascii="宋体" w:hAnsi="Times New Roman" w:eastAsia="宋体" w:cs="Times New Roman"/>
          <w:color w:val="auto"/>
          <w:highlight w:val="none"/>
          <w:lang w:eastAsia="zh-CN"/>
        </w:rPr>
        <w:t>内，定期</w:t>
      </w:r>
      <w:r>
        <w:rPr>
          <w:rFonts w:hint="eastAsia" w:ascii="宋体" w:hAnsi="Times New Roman" w:eastAsia="宋体" w:cs="Times New Roman"/>
          <w:color w:val="auto"/>
          <w:highlight w:val="none"/>
          <w:lang w:val="en-US" w:eastAsia="zh-CN"/>
        </w:rPr>
        <w:t>清掏</w:t>
      </w:r>
      <w:r>
        <w:rPr>
          <w:rFonts w:hint="eastAsia" w:ascii="宋体" w:hAnsi="Times New Roman" w:eastAsia="宋体" w:cs="Times New Roman"/>
          <w:color w:val="auto"/>
          <w:highlight w:val="none"/>
          <w:lang w:eastAsia="zh-CN"/>
        </w:rPr>
        <w:t>。</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lang w:val="en-US" w:eastAsia="zh-CN"/>
        </w:rPr>
        <w:t>3</w:t>
      </w:r>
      <w:r>
        <w:rPr>
          <w:rFonts w:hint="eastAsia" w:ascii="宋体" w:hAnsi="Times New Roman" w:eastAsia="宋体" w:cs="Times New Roman"/>
          <w:color w:val="auto"/>
          <w:highlight w:val="none"/>
          <w:lang w:eastAsia="zh-CN"/>
        </w:rPr>
        <w:t>）事故废水，发生事故时，事故废水排入 1 座有效容积为</w:t>
      </w:r>
      <w:r>
        <w:rPr>
          <w:rFonts w:hint="eastAsia" w:ascii="宋体" w:hAnsi="Times New Roman" w:eastAsia="宋体" w:cs="Times New Roman"/>
          <w:color w:val="auto"/>
          <w:highlight w:val="none"/>
          <w:lang w:val="en-US" w:eastAsia="zh-CN"/>
        </w:rPr>
        <w:t>2500</w:t>
      </w:r>
      <w:r>
        <w:rPr>
          <w:rFonts w:hint="eastAsia" w:ascii="宋体" w:hAnsi="Times New Roman" w:eastAsia="宋体" w:cs="Times New Roman"/>
          <w:color w:val="auto"/>
          <w:highlight w:val="none"/>
          <w:lang w:eastAsia="zh-CN"/>
        </w:rPr>
        <w:t>m</w:t>
      </w:r>
      <w:r>
        <w:rPr>
          <w:rFonts w:hint="eastAsia" w:ascii="宋体" w:hAnsi="Times New Roman" w:eastAsia="宋体" w:cs="Times New Roman"/>
          <w:color w:val="auto"/>
          <w:highlight w:val="none"/>
          <w:vertAlign w:val="superscript"/>
          <w:lang w:eastAsia="zh-CN"/>
        </w:rPr>
        <w:t>3</w:t>
      </w:r>
      <w:r>
        <w:rPr>
          <w:rFonts w:hint="eastAsia" w:ascii="宋体" w:hAnsi="Times New Roman" w:eastAsia="宋体" w:cs="Times New Roman"/>
          <w:color w:val="auto"/>
          <w:highlight w:val="none"/>
          <w:lang w:eastAsia="zh-CN"/>
        </w:rPr>
        <w:t xml:space="preserve"> 的事故池。</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val="en-US" w:eastAsia="zh-CN"/>
        </w:rPr>
        <w:t>1.4.2</w:t>
      </w:r>
      <w:r>
        <w:rPr>
          <w:rFonts w:hint="eastAsia" w:ascii="宋体" w:hAnsi="Times New Roman" w:eastAsia="宋体" w:cs="Times New Roman"/>
          <w:color w:val="auto"/>
          <w:highlight w:val="none"/>
          <w:lang w:eastAsia="zh-CN"/>
        </w:rPr>
        <w:t>对</w:t>
      </w:r>
      <w:r>
        <w:rPr>
          <w:rFonts w:hint="eastAsia" w:ascii="宋体" w:hAnsi="Times New Roman" w:eastAsia="宋体" w:cs="Times New Roman"/>
          <w:color w:val="auto"/>
          <w:highlight w:val="none"/>
          <w:lang w:val="en-US" w:eastAsia="zh-CN"/>
        </w:rPr>
        <w:t>地下水</w:t>
      </w:r>
      <w:r>
        <w:rPr>
          <w:rFonts w:hint="eastAsia" w:ascii="宋体" w:hAnsi="Times New Roman" w:eastAsia="宋体" w:cs="Times New Roman"/>
          <w:color w:val="auto"/>
          <w:highlight w:val="none"/>
          <w:lang w:eastAsia="zh-CN"/>
        </w:rPr>
        <w:t>环境的影响</w:t>
      </w:r>
    </w:p>
    <w:p>
      <w:pPr>
        <w:rPr>
          <w:rFonts w:hint="eastAsia"/>
          <w:lang w:eastAsia="zh-CN"/>
        </w:rPr>
      </w:pPr>
      <w:r>
        <w:rPr>
          <w:rFonts w:hint="eastAsia"/>
          <w:lang w:eastAsia="zh-CN"/>
        </w:rPr>
        <w:t>本项目厂区采取分区</w:t>
      </w:r>
      <w:r>
        <w:rPr>
          <w:rFonts w:hint="eastAsia"/>
          <w:lang w:val="en-US" w:eastAsia="zh-CN"/>
        </w:rPr>
        <w:t>防渗</w:t>
      </w:r>
      <w:r>
        <w:rPr>
          <w:rFonts w:hint="eastAsia"/>
          <w:lang w:eastAsia="zh-CN"/>
        </w:rPr>
        <w:t>，本项目重点防区包括生产车间、污水处理站、集水池、事故应急池、</w:t>
      </w:r>
      <w:r>
        <w:rPr>
          <w:rFonts w:hint="eastAsia"/>
          <w:lang w:val="en-US" w:eastAsia="zh-CN"/>
        </w:rPr>
        <w:t>危废暂存间</w:t>
      </w:r>
      <w:r>
        <w:rPr>
          <w:rFonts w:hint="eastAsia"/>
          <w:lang w:eastAsia="zh-CN"/>
        </w:rPr>
        <w:t>，采用粘土铺底，上层铺水泥进行硬化等</w:t>
      </w:r>
      <w:r>
        <w:rPr>
          <w:rFonts w:hint="eastAsia"/>
          <w:lang w:val="en-US" w:eastAsia="zh-CN"/>
        </w:rPr>
        <w:t>防渗</w:t>
      </w:r>
      <w:r>
        <w:rPr>
          <w:rFonts w:hint="eastAsia"/>
          <w:lang w:eastAsia="zh-CN"/>
        </w:rPr>
        <w:t>措施，</w:t>
      </w:r>
      <w:r>
        <w:rPr>
          <w:rFonts w:hint="eastAsia"/>
          <w:lang w:val="en-US" w:eastAsia="zh-CN"/>
        </w:rPr>
        <w:t>防渗</w:t>
      </w:r>
      <w:r>
        <w:rPr>
          <w:rFonts w:hint="eastAsia"/>
          <w:lang w:eastAsia="zh-CN"/>
        </w:rPr>
        <w:t>技术要求为等效黏土防层，防层至少 1m 厚粘土层</w:t>
      </w:r>
      <w:r>
        <w:rPr>
          <w:rFonts w:hint="eastAsia"/>
          <w:lang w:val="en-US" w:eastAsia="zh-CN"/>
        </w:rPr>
        <w:t>渗透</w:t>
      </w:r>
      <w:r>
        <w:rPr>
          <w:rFonts w:hint="eastAsia"/>
          <w:lang w:eastAsia="zh-CN"/>
        </w:rPr>
        <w:t>系数 K≤1×10</w:t>
      </w:r>
      <w:r>
        <w:rPr>
          <w:rFonts w:hint="eastAsia"/>
          <w:vertAlign w:val="superscript"/>
          <w:lang w:eastAsia="zh-CN"/>
        </w:rPr>
        <w:t>-7</w:t>
      </w:r>
      <w:r>
        <w:rPr>
          <w:rFonts w:hint="eastAsia"/>
          <w:lang w:eastAsia="zh-CN"/>
        </w:rPr>
        <w:t>cm/s；危废贮存库：储存危废场所，首先地面硬化后基础做</w:t>
      </w:r>
      <w:r>
        <w:rPr>
          <w:rFonts w:hint="eastAsia"/>
          <w:lang w:val="en-US" w:eastAsia="zh-CN"/>
        </w:rPr>
        <w:t>防渗</w:t>
      </w:r>
      <w:r>
        <w:rPr>
          <w:rFonts w:hint="eastAsia"/>
          <w:lang w:eastAsia="zh-CN"/>
        </w:rPr>
        <w:t>，再采用 2mm 高密度聚乙烯，防性能满足《危险废物贮存污染控制标准》（GB18597-2023）中防要求。本项目一般防区为锅炉房、原料库房、成品库房，主要采用地面水泥硬化，等效黏土防层 Mb≥1.5m，K≤10-7cm/s。简单防区为办公楼，采用硬化地面。并在厂区污水处理站西南方向设置一口地下水跟踪监测井，要求企业对监测井内水质指标定期进行监测，如发现指标异常增大或超标，应进行全面排查，找到污染源并排除，保障及时发现及时排除，将影响控制在厂界内。</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val="en-US" w:eastAsia="zh-CN"/>
        </w:rPr>
        <w:t>1.4.3</w:t>
      </w:r>
      <w:r>
        <w:rPr>
          <w:rFonts w:hint="eastAsia" w:ascii="宋体" w:hAnsi="Times New Roman" w:eastAsia="宋体" w:cs="Times New Roman"/>
          <w:color w:val="auto"/>
          <w:highlight w:val="none"/>
          <w:lang w:eastAsia="zh-CN"/>
        </w:rPr>
        <w:t>对大气环境的影响</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本次评价重点分析废气源强、治理措施的可行性及对周边大气环境的影响。本项目运营期产生的大气污染物主要来源于锅炉产生的烟气及污水处理站排放的恶臭气体。</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本项目锅炉采用</w:t>
      </w:r>
      <w:r>
        <w:rPr>
          <w:rFonts w:hint="eastAsia" w:cs="Times New Roman"/>
          <w:color w:val="auto"/>
          <w:highlight w:val="none"/>
          <w:lang w:val="en-US" w:eastAsia="zh-CN"/>
        </w:rPr>
        <w:t>生物质</w:t>
      </w:r>
      <w:r>
        <w:rPr>
          <w:rFonts w:hint="eastAsia" w:ascii="宋体" w:hAnsi="Times New Roman" w:eastAsia="宋体" w:cs="Times New Roman"/>
          <w:color w:val="auto"/>
          <w:highlight w:val="none"/>
          <w:lang w:eastAsia="zh-CN"/>
        </w:rPr>
        <w:t xml:space="preserve">为燃料，燃烧后经 1 根 </w:t>
      </w:r>
      <w:r>
        <w:rPr>
          <w:rFonts w:hint="eastAsia" w:cs="Times New Roman"/>
          <w:color w:val="auto"/>
          <w:highlight w:val="none"/>
          <w:lang w:val="en-US" w:eastAsia="zh-CN"/>
        </w:rPr>
        <w:t>35</w:t>
      </w:r>
      <w:r>
        <w:rPr>
          <w:rFonts w:hint="eastAsia" w:ascii="宋体" w:hAnsi="Times New Roman" w:eastAsia="宋体" w:cs="Times New Roman"/>
          <w:color w:val="auto"/>
          <w:highlight w:val="none"/>
          <w:lang w:eastAsia="zh-CN"/>
        </w:rPr>
        <w:t>m 高烟囱排放。锅炉</w:t>
      </w:r>
      <w:r>
        <w:rPr>
          <w:rFonts w:hint="eastAsia" w:cs="Times New Roman"/>
          <w:color w:val="auto"/>
          <w:highlight w:val="none"/>
          <w:lang w:val="en-US" w:eastAsia="zh-CN"/>
        </w:rPr>
        <w:t>排放</w:t>
      </w:r>
      <w:r>
        <w:rPr>
          <w:rFonts w:hint="eastAsia" w:ascii="宋体" w:hAnsi="Times New Roman" w:eastAsia="宋体" w:cs="Times New Roman"/>
          <w:color w:val="auto"/>
          <w:highlight w:val="none"/>
          <w:lang w:eastAsia="zh-CN"/>
        </w:rPr>
        <w:t>烟气中 SO</w:t>
      </w:r>
      <w:r>
        <w:rPr>
          <w:rFonts w:hint="eastAsia" w:ascii="宋体" w:hAnsi="Times New Roman" w:eastAsia="宋体" w:cs="Times New Roman"/>
          <w:color w:val="auto"/>
          <w:highlight w:val="none"/>
          <w:vertAlign w:val="subscript"/>
          <w:lang w:eastAsia="zh-CN"/>
        </w:rPr>
        <w:t>2</w:t>
      </w:r>
      <w:r>
        <w:rPr>
          <w:rFonts w:hint="eastAsia" w:ascii="宋体" w:hAnsi="Times New Roman" w:eastAsia="宋体" w:cs="Times New Roman"/>
          <w:color w:val="auto"/>
          <w:highlight w:val="none"/>
          <w:lang w:eastAsia="zh-CN"/>
        </w:rPr>
        <w:t>、NO</w:t>
      </w:r>
      <w:r>
        <w:rPr>
          <w:rFonts w:hint="eastAsia" w:ascii="宋体" w:hAnsi="Times New Roman" w:eastAsia="宋体" w:cs="Times New Roman"/>
          <w:color w:val="auto"/>
          <w:highlight w:val="none"/>
          <w:vertAlign w:val="subscript"/>
          <w:lang w:eastAsia="zh-CN"/>
        </w:rPr>
        <w:t>X</w:t>
      </w:r>
      <w:r>
        <w:rPr>
          <w:rFonts w:hint="eastAsia" w:ascii="宋体" w:hAnsi="Times New Roman" w:eastAsia="宋体" w:cs="Times New Roman"/>
          <w:color w:val="auto"/>
          <w:highlight w:val="none"/>
          <w:lang w:eastAsia="zh-CN"/>
        </w:rPr>
        <w:t>、颗粒物满足《锅炉大气污染物排放标准》（GB13271-2014）排放限值；</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eastAsia="zh-CN"/>
        </w:rPr>
        <w:t>本项目污水处理站产生氨气、硫化氢，采用密闭加盖方式，同时使用引风机将集水池等产生的氨气、硫化氢收集后，使用活性炭吸附后通过 1 根不低于 15m高排气筒排放，减少氨气、硫化氢对周边环境影响。经计算，排气筒排放的氨气、硫化氢满足《恶臭污染物排放标准》（GB 14554-93）表 2 中 15m 排气筒排放速率限值要求。无组织排放的氨气、硫化氢也可满足《恶臭污染物排放标准》 (GB14554-93)表 1</w:t>
      </w:r>
      <w:r>
        <w:rPr>
          <w:rFonts w:hint="eastAsia" w:ascii="宋体" w:hAnsi="Times New Roman" w:eastAsia="宋体" w:cs="Times New Roman"/>
          <w:color w:val="auto"/>
          <w:highlight w:val="none"/>
        </w:rPr>
        <w:t xml:space="preserve"> 二级新扩改建标准厂界监控点浓度限值。</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val="en-US" w:eastAsia="zh-CN"/>
        </w:rPr>
        <w:t>1.4.4</w:t>
      </w:r>
      <w:r>
        <w:rPr>
          <w:rFonts w:hint="eastAsia" w:ascii="宋体" w:hAnsi="Times New Roman" w:eastAsia="宋体" w:cs="Times New Roman"/>
          <w:color w:val="auto"/>
          <w:highlight w:val="none"/>
          <w:lang w:eastAsia="zh-CN"/>
        </w:rPr>
        <w:t>对噪声环境的影响</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本次评价重点分析噪声控制措施的可行性及厂界的达标可行性。</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生产过程中噪声源主要为碎浆机、磨浆机、造纸机、锅炉、风机、水泵、浆泵和其他生产设备等，对高噪声设备采取隔声、消声、减振等控制措施，厂界四周噪声达到《工业企业厂界环境噪声排放标准》（GB12348-2008）</w:t>
      </w:r>
      <w:r>
        <w:rPr>
          <w:rFonts w:hint="eastAsia" w:ascii="宋体" w:hAnsi="Times New Roman" w:eastAsia="宋体" w:cs="Times New Roman"/>
          <w:color w:val="auto"/>
          <w:highlight w:val="none"/>
          <w:lang w:val="en-US" w:eastAsia="zh-CN"/>
        </w:rPr>
        <w:t>3</w:t>
      </w:r>
      <w:r>
        <w:rPr>
          <w:rFonts w:hint="eastAsia" w:ascii="宋体" w:hAnsi="Times New Roman" w:eastAsia="宋体" w:cs="Times New Roman"/>
          <w:color w:val="auto"/>
          <w:highlight w:val="none"/>
        </w:rPr>
        <w:t>类标准。本项目</w:t>
      </w:r>
      <w:r>
        <w:rPr>
          <w:rFonts w:hint="eastAsia" w:cs="Times New Roman"/>
          <w:color w:val="auto"/>
          <w:highlight w:val="none"/>
          <w:lang w:val="en-US" w:eastAsia="zh-CN"/>
        </w:rPr>
        <w:t>周围无</w:t>
      </w:r>
      <w:r>
        <w:rPr>
          <w:rFonts w:hint="eastAsia" w:ascii="宋体" w:hAnsi="Times New Roman" w:eastAsia="宋体" w:cs="Times New Roman"/>
          <w:color w:val="auto"/>
          <w:highlight w:val="none"/>
        </w:rPr>
        <w:t>噪声敏感点，因此项目噪声对外环境影响较小。</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1.4.5</w:t>
      </w:r>
      <w:r>
        <w:rPr>
          <w:rFonts w:hint="eastAsia" w:ascii="宋体" w:hAnsi="Times New Roman" w:eastAsia="宋体" w:cs="Times New Roman"/>
          <w:color w:val="auto"/>
          <w:highlight w:val="none"/>
        </w:rPr>
        <w:t>对固体废物环境影响</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本项目生产过程中产生的一般固废主要是</w:t>
      </w:r>
      <w:r>
        <w:rPr>
          <w:rFonts w:hint="eastAsia" w:ascii="Times New Roman" w:hAnsi="Times New Roman" w:cs="Times New Roman"/>
          <w:color w:val="auto"/>
          <w:highlight w:val="none"/>
        </w:rPr>
        <w:t>浆料分离产生的杂质、污水处理站固体废物、燃料灰渣、锅炉炉渣和捕集到的飞灰、废离子交换树脂</w:t>
      </w:r>
      <w:r>
        <w:rPr>
          <w:rFonts w:hint="eastAsia" w:ascii="Times New Roman" w:hAnsi="Times New Roman" w:cs="Times New Roman"/>
          <w:color w:val="auto"/>
          <w:highlight w:val="none"/>
          <w:lang w:eastAsia="zh-CN"/>
        </w:rPr>
        <w:t>，</w:t>
      </w:r>
      <w:r>
        <w:rPr>
          <w:rFonts w:hint="eastAsia" w:ascii="宋体" w:hAnsi="Times New Roman" w:eastAsia="宋体" w:cs="Times New Roman"/>
          <w:color w:val="auto"/>
          <w:highlight w:val="none"/>
        </w:rPr>
        <w:t>按照减量化、资源化、无害化原则，固体均得到了妥善处置，处置率 100%。本项目废活性炭、废机油暂存在危废贮存库，定期委托有资质单位处置。</w:t>
      </w:r>
      <w:r>
        <w:rPr>
          <w:rFonts w:hint="eastAsia" w:ascii="Times New Roman" w:hAnsi="Times New Roman" w:cs="Times New Roman"/>
          <w:color w:val="auto"/>
          <w:highlight w:val="none"/>
        </w:rPr>
        <w:t>浆料分离产生的杂质、污水处理站固体废物、燃料灰渣、锅炉炉渣和捕集到的飞灰</w:t>
      </w:r>
      <w:r>
        <w:rPr>
          <w:rFonts w:hint="eastAsia" w:ascii="宋体" w:hAnsi="Times New Roman" w:eastAsia="宋体" w:cs="Times New Roman"/>
          <w:color w:val="auto"/>
          <w:highlight w:val="none"/>
        </w:rPr>
        <w:t>等主要通过</w:t>
      </w:r>
      <w:r>
        <w:rPr>
          <w:rFonts w:hint="eastAsia" w:ascii="宋体" w:hAnsi="Times New Roman" w:eastAsia="宋体" w:cs="Times New Roman"/>
          <w:color w:val="auto"/>
          <w:highlight w:val="none"/>
          <w:lang w:val="en-US" w:eastAsia="zh-CN"/>
        </w:rPr>
        <w:t>集中收集综合</w:t>
      </w:r>
      <w:r>
        <w:rPr>
          <w:rFonts w:hint="eastAsia" w:ascii="宋体" w:hAnsi="Times New Roman" w:eastAsia="宋体" w:cs="Times New Roman"/>
          <w:color w:val="auto"/>
          <w:highlight w:val="none"/>
        </w:rPr>
        <w:t>外售</w:t>
      </w:r>
      <w:r>
        <w:rPr>
          <w:rFonts w:hint="eastAsia" w:ascii="宋体" w:hAnsi="Times New Roman" w:eastAsia="宋体" w:cs="Times New Roman"/>
          <w:color w:val="auto"/>
          <w:highlight w:val="none"/>
          <w:lang w:val="en-US" w:eastAsia="zh-CN"/>
        </w:rPr>
        <w:t>处理</w:t>
      </w:r>
      <w:r>
        <w:rPr>
          <w:rFonts w:hint="eastAsia" w:ascii="宋体" w:hAnsi="Times New Roman" w:eastAsia="宋体" w:cs="Times New Roman"/>
          <w:color w:val="auto"/>
          <w:highlight w:val="none"/>
          <w:lang w:eastAsia="zh-CN"/>
        </w:rPr>
        <w:t>，</w:t>
      </w:r>
      <w:r>
        <w:rPr>
          <w:rFonts w:hint="eastAsia" w:ascii="宋体" w:hAnsi="Times New Roman" w:eastAsia="宋体" w:cs="Times New Roman"/>
          <w:color w:val="auto"/>
          <w:highlight w:val="none"/>
        </w:rPr>
        <w:t>锅炉软化水系统更换的废离子交换树脂定期由厂家更换回收处置。</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1.4.6</w:t>
      </w:r>
      <w:r>
        <w:rPr>
          <w:rFonts w:hint="eastAsia" w:ascii="宋体" w:hAnsi="Times New Roman" w:eastAsia="宋体" w:cs="Times New Roman"/>
          <w:color w:val="auto"/>
          <w:highlight w:val="none"/>
        </w:rPr>
        <w:t>土壤的影响</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本项目生产过程污染物排放或事故状态下大气沉降、垂直入</w:t>
      </w:r>
      <w:r>
        <w:rPr>
          <w:rFonts w:hint="eastAsia" w:cs="Times New Roman"/>
          <w:color w:val="auto"/>
          <w:highlight w:val="none"/>
          <w:lang w:val="en-US" w:eastAsia="zh-CN"/>
        </w:rPr>
        <w:t>渗</w:t>
      </w:r>
      <w:r>
        <w:rPr>
          <w:rFonts w:hint="eastAsia" w:ascii="宋体" w:hAnsi="Times New Roman" w:eastAsia="宋体" w:cs="Times New Roman"/>
          <w:color w:val="auto"/>
          <w:highlight w:val="none"/>
        </w:rPr>
        <w:t>可能会对土壤环境造成不利影响，建议企业做好污染防治设施的维护及检修，严格做好防控和分区防</w:t>
      </w:r>
      <w:r>
        <w:rPr>
          <w:rFonts w:hint="eastAsia" w:cs="Times New Roman"/>
          <w:color w:val="auto"/>
          <w:highlight w:val="none"/>
          <w:lang w:val="en-US" w:eastAsia="zh-CN"/>
        </w:rPr>
        <w:t>渗</w:t>
      </w:r>
      <w:r>
        <w:rPr>
          <w:rFonts w:hint="eastAsia" w:ascii="宋体" w:hAnsi="Times New Roman" w:eastAsia="宋体" w:cs="Times New Roman"/>
          <w:color w:val="auto"/>
          <w:highlight w:val="none"/>
        </w:rPr>
        <w:t>，从多方面降低项目建设对土壤环境的影响，从源头控制与过程控制采取相应防治措施。</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lang w:val="en-US" w:eastAsia="zh-CN"/>
        </w:rPr>
        <w:t>1.4.7</w:t>
      </w:r>
      <w:r>
        <w:rPr>
          <w:rFonts w:hint="eastAsia" w:ascii="宋体" w:hAnsi="Times New Roman" w:eastAsia="宋体" w:cs="Times New Roman"/>
          <w:color w:val="auto"/>
          <w:highlight w:val="none"/>
        </w:rPr>
        <w:t>环境风险的影响</w:t>
      </w:r>
    </w:p>
    <w:p>
      <w:pPr>
        <w:bidi w:val="0"/>
        <w:rPr>
          <w:rFonts w:hint="eastAsia" w:ascii="宋体" w:hAnsi="Times New Roman" w:eastAsia="宋体" w:cs="Times New Roman"/>
          <w:color w:val="auto"/>
          <w:highlight w:val="none"/>
        </w:rPr>
      </w:pPr>
      <w:r>
        <w:rPr>
          <w:rFonts w:hint="eastAsia" w:ascii="宋体" w:hAnsi="Times New Roman" w:eastAsia="宋体" w:cs="Times New Roman"/>
          <w:color w:val="auto"/>
          <w:highlight w:val="none"/>
        </w:rPr>
        <w:t>根据《建设项目环境风险评价技术导则》（HJ 169-2018）的附录 A.1 对上述物质进行风险识别，本项目为非重大危险源，且根据建设项目涉及的物质和工艺系统的危险性及其所在地的环境敏感程度，结合事故情形下环境影响途径，对建设项目潜在环境危害程度进行概化分析，建设项目环境风险潜势为Ⅰ，本次环境风险评价等级确定为简单分析。针对本项目涉及的原料、产品，分析本项目各单元的安全监督重点部位、易发生事故环节和可能引发的事故后果及对保护目标的影响程度，并提出防范措施和对策。本项目根据生产流程各组成部分的特点和火灾危险性，结合地形、风向等条件，将生产线和原料分区集中布置；生产区地面应进行硬化措施，其他区域易污染地下水区域采取重点防</w:t>
      </w:r>
      <w:r>
        <w:rPr>
          <w:rFonts w:hint="eastAsia" w:cs="Times New Roman"/>
          <w:color w:val="auto"/>
          <w:highlight w:val="none"/>
          <w:lang w:val="en-US" w:eastAsia="zh-CN"/>
        </w:rPr>
        <w:t>渗</w:t>
      </w:r>
      <w:r>
        <w:rPr>
          <w:rFonts w:hint="eastAsia" w:ascii="宋体" w:hAnsi="Times New Roman" w:eastAsia="宋体" w:cs="Times New Roman"/>
          <w:color w:val="auto"/>
          <w:highlight w:val="none"/>
        </w:rPr>
        <w:t>措施</w:t>
      </w:r>
      <w:r>
        <w:rPr>
          <w:rFonts w:hint="eastAsia" w:cs="Times New Roman"/>
          <w:color w:val="auto"/>
          <w:highlight w:val="none"/>
          <w:lang w:eastAsia="zh-CN"/>
        </w:rPr>
        <w:t>；</w:t>
      </w:r>
      <w:r>
        <w:rPr>
          <w:rFonts w:hint="eastAsia" w:ascii="宋体" w:hAnsi="Times New Roman" w:eastAsia="宋体" w:cs="Times New Roman"/>
          <w:color w:val="auto"/>
          <w:highlight w:val="none"/>
        </w:rPr>
        <w:t>针对事故废水、污水处理站故障等风险情况发生设有</w:t>
      </w:r>
      <w:r>
        <w:rPr>
          <w:rFonts w:hint="eastAsia" w:ascii="宋体" w:hAnsi="Times New Roman" w:eastAsia="宋体" w:cs="Times New Roman"/>
          <w:color w:val="auto"/>
          <w:highlight w:val="none"/>
          <w:lang w:val="en-US" w:eastAsia="zh-CN"/>
        </w:rPr>
        <w:t>2500</w:t>
      </w:r>
      <w:r>
        <w:rPr>
          <w:rFonts w:hint="eastAsia" w:ascii="宋体" w:hAnsi="Times New Roman" w:eastAsia="宋体" w:cs="Times New Roman"/>
          <w:color w:val="auto"/>
          <w:highlight w:val="none"/>
        </w:rPr>
        <w:t>m</w:t>
      </w:r>
      <w:r>
        <w:rPr>
          <w:rFonts w:hint="eastAsia" w:ascii="宋体" w:hAnsi="Times New Roman" w:eastAsia="宋体" w:cs="Times New Roman"/>
          <w:color w:val="auto"/>
          <w:highlight w:val="none"/>
          <w:vertAlign w:val="superscript"/>
        </w:rPr>
        <w:t>3</w:t>
      </w:r>
      <w:r>
        <w:rPr>
          <w:rFonts w:hint="eastAsia" w:ascii="宋体" w:hAnsi="Times New Roman" w:eastAsia="宋体" w:cs="Times New Roman"/>
          <w:color w:val="auto"/>
          <w:highlight w:val="none"/>
        </w:rPr>
        <w:t xml:space="preserve"> 事故应急池一座。本项目还将按照国家和地方要求，编制突发环境事件应急预案，建立预防与预警机制应对可能发生的环境风险情况。</w:t>
      </w:r>
    </w:p>
    <w:bookmarkEnd w:id="58"/>
    <w:bookmarkEnd w:id="59"/>
    <w:bookmarkEnd w:id="60"/>
    <w:bookmarkEnd w:id="61"/>
    <w:bookmarkEnd w:id="62"/>
    <w:p>
      <w:pPr>
        <w:pStyle w:val="6"/>
        <w:keepNext/>
        <w:keepLines/>
        <w:autoSpaceDE/>
        <w:autoSpaceDN/>
        <w:bidi w:val="0"/>
        <w:spacing w:before="0" w:after="0" w:line="500" w:lineRule="exact"/>
        <w:ind w:left="0" w:right="0" w:firstLine="0" w:firstLineChars="0"/>
        <w:jc w:val="both"/>
        <w:outlineLvl w:val="1"/>
        <w:rPr>
          <w:rFonts w:ascii="Times New Roman" w:hAnsi="Times New Roman" w:cs="Times New Roman"/>
          <w:bCs w:val="0"/>
          <w:color w:val="auto"/>
          <w:kern w:val="2"/>
          <w:szCs w:val="20"/>
          <w:highlight w:val="none"/>
          <w:lang w:val="en-US" w:bidi="ar-SA"/>
        </w:rPr>
      </w:pPr>
      <w:bookmarkStart w:id="63" w:name="_bookmark9"/>
      <w:bookmarkEnd w:id="63"/>
      <w:bookmarkStart w:id="64" w:name="_bookmark9"/>
      <w:bookmarkEnd w:id="64"/>
      <w:bookmarkStart w:id="65" w:name="_Toc18986"/>
      <w:r>
        <w:rPr>
          <w:rFonts w:hint="eastAsia" w:ascii="Times New Roman" w:hAnsi="Times New Roman" w:cs="Times New Roman"/>
          <w:bCs w:val="0"/>
          <w:color w:val="auto"/>
          <w:kern w:val="2"/>
          <w:szCs w:val="20"/>
          <w:highlight w:val="none"/>
          <w:lang w:val="en-US" w:eastAsia="zh-CN" w:bidi="ar-SA"/>
        </w:rPr>
        <w:t>1.5</w:t>
      </w:r>
      <w:r>
        <w:rPr>
          <w:rFonts w:ascii="Times New Roman" w:hAnsi="Times New Roman" w:cs="Times New Roman"/>
          <w:bCs w:val="0"/>
          <w:color w:val="auto"/>
          <w:kern w:val="2"/>
          <w:szCs w:val="20"/>
          <w:highlight w:val="none"/>
          <w:lang w:val="en-US" w:bidi="ar-SA"/>
        </w:rPr>
        <w:t>环境影响评价的主要结论</w:t>
      </w:r>
      <w:bookmarkEnd w:id="65"/>
    </w:p>
    <w:p>
      <w:pPr>
        <w:bidi w:val="0"/>
        <w:rPr>
          <w:rFonts w:hint="eastAsia"/>
          <w:color w:val="auto"/>
          <w:highlight w:val="none"/>
        </w:rPr>
      </w:pPr>
      <w:r>
        <w:rPr>
          <w:rFonts w:hint="eastAsia"/>
          <w:color w:val="auto"/>
          <w:highlight w:val="none"/>
        </w:rPr>
        <w:t>本项目建设符合国家产业政策要求，符合</w:t>
      </w:r>
      <w:r>
        <w:rPr>
          <w:rFonts w:hint="eastAsia"/>
          <w:color w:val="auto"/>
          <w:highlight w:val="none"/>
          <w:lang w:val="en-US" w:eastAsia="zh-CN"/>
        </w:rPr>
        <w:t>相关行业</w:t>
      </w:r>
      <w:r>
        <w:rPr>
          <w:rFonts w:hint="eastAsia"/>
          <w:color w:val="auto"/>
          <w:highlight w:val="none"/>
        </w:rPr>
        <w:t>规划。本项目在施工期及营运期对周边环境会造成一定的影响，但在建设方切实落实本报告书提出的各项环保措施和环境风险防控措施后，工程建设可以做到清洁生产、达标排放，污染物排放指标符合延平区污染物总量控制要求，</w:t>
      </w:r>
      <w:r>
        <w:rPr>
          <w:spacing w:val="-2"/>
        </w:rPr>
        <w:t>其环境影响能够被现有环境所接受</w:t>
      </w:r>
      <w:r>
        <w:rPr>
          <w:rFonts w:hint="eastAsia"/>
          <w:color w:val="auto"/>
          <w:highlight w:val="none"/>
          <w:lang w:eastAsia="zh-CN"/>
        </w:rPr>
        <w:t>。</w:t>
      </w:r>
      <w:r>
        <w:rPr>
          <w:rFonts w:hint="eastAsia"/>
          <w:color w:val="auto"/>
          <w:highlight w:val="none"/>
          <w:lang w:val="en-US" w:eastAsia="zh-CN"/>
        </w:rPr>
        <w:t>本项目通过</w:t>
      </w:r>
      <w:r>
        <w:rPr>
          <w:rFonts w:hint="default"/>
          <w:color w:val="auto"/>
          <w:sz w:val="24"/>
          <w:highlight w:val="none"/>
        </w:rPr>
        <w:t>公参调查结果表明，公众对</w:t>
      </w:r>
      <w:r>
        <w:rPr>
          <w:rFonts w:hint="eastAsia"/>
          <w:color w:val="auto"/>
          <w:sz w:val="24"/>
          <w:highlight w:val="none"/>
          <w:lang w:eastAsia="zh-CN"/>
        </w:rPr>
        <w:t>《</w:t>
      </w:r>
      <w:r>
        <w:rPr>
          <w:rFonts w:hint="eastAsia"/>
          <w:color w:val="auto"/>
          <w:sz w:val="24"/>
          <w:highlight w:val="none"/>
          <w:lang w:val="en-US" w:eastAsia="zh-CN"/>
        </w:rPr>
        <w:t>大庆市李氏纸业改建项目</w:t>
      </w:r>
      <w:r>
        <w:rPr>
          <w:rFonts w:hint="eastAsia"/>
          <w:color w:val="auto"/>
          <w:sz w:val="24"/>
          <w:highlight w:val="none"/>
          <w:lang w:eastAsia="zh-CN"/>
        </w:rPr>
        <w:t>》</w:t>
      </w:r>
      <w:r>
        <w:rPr>
          <w:rFonts w:hint="default"/>
          <w:color w:val="auto"/>
          <w:sz w:val="24"/>
          <w:highlight w:val="none"/>
        </w:rPr>
        <w:t>无反对意见。</w:t>
      </w:r>
      <w:r>
        <w:rPr>
          <w:rFonts w:hint="eastAsia"/>
          <w:color w:val="auto"/>
          <w:highlight w:val="none"/>
        </w:rPr>
        <w:t>从环保角度上分析，本项目建设是可行的。</w:t>
      </w:r>
    </w:p>
    <w:p>
      <w:pPr>
        <w:rPr>
          <w:rFonts w:hint="eastAsia"/>
          <w:color w:val="auto"/>
          <w:highlight w:val="none"/>
        </w:rPr>
      </w:pPr>
      <w:r>
        <w:rPr>
          <w:rFonts w:hint="eastAsia"/>
          <w:color w:val="auto"/>
          <w:highlight w:val="none"/>
        </w:rPr>
        <w:br w:type="page"/>
      </w:r>
    </w:p>
    <w:p>
      <w:pPr>
        <w:pStyle w:val="5"/>
        <w:keepNext/>
        <w:keepLines/>
        <w:autoSpaceDE/>
        <w:autoSpaceDN/>
        <w:bidi w:val="0"/>
        <w:spacing w:before="0" w:after="0" w:line="500" w:lineRule="exact"/>
        <w:ind w:left="0" w:right="0" w:firstLine="0" w:firstLineChars="0"/>
        <w:jc w:val="both"/>
        <w:outlineLvl w:val="0"/>
        <w:rPr>
          <w:rFonts w:hint="eastAsia" w:ascii="Times New Roman" w:hAnsi="Times New Roman" w:eastAsia="宋体" w:cs="Times New Roman"/>
          <w:color w:val="auto"/>
          <w:kern w:val="44"/>
          <w:highlight w:val="none"/>
          <w:lang w:val="en-US" w:eastAsia="zh-CN" w:bidi="ar-SA"/>
        </w:rPr>
      </w:pPr>
      <w:bookmarkStart w:id="66" w:name="_Toc23089"/>
      <w:r>
        <w:rPr>
          <w:rFonts w:hint="eastAsia" w:ascii="Times New Roman" w:hAnsi="Times New Roman" w:eastAsia="宋体" w:cs="Times New Roman"/>
          <w:color w:val="auto"/>
          <w:kern w:val="44"/>
          <w:highlight w:val="none"/>
          <w:lang w:val="en-US" w:eastAsia="zh-CN" w:bidi="ar-SA"/>
        </w:rPr>
        <w:t>2总则</w:t>
      </w:r>
      <w:bookmarkEnd w:id="66"/>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67" w:name="_bookmark11"/>
      <w:bookmarkEnd w:id="67"/>
      <w:bookmarkStart w:id="68" w:name="_bookmark11"/>
      <w:bookmarkEnd w:id="68"/>
      <w:bookmarkStart w:id="69" w:name="_Toc28453"/>
      <w:r>
        <w:rPr>
          <w:rFonts w:hint="eastAsia" w:ascii="Times New Roman" w:hAnsi="Times New Roman" w:eastAsia="宋体" w:cs="Times New Roman"/>
          <w:bCs w:val="0"/>
          <w:color w:val="auto"/>
          <w:kern w:val="2"/>
          <w:szCs w:val="20"/>
          <w:highlight w:val="none"/>
          <w:lang w:val="en-US" w:eastAsia="zh-CN" w:bidi="ar-SA"/>
        </w:rPr>
        <w:t>2.1</w:t>
      </w:r>
      <w:r>
        <w:rPr>
          <w:rFonts w:hint="eastAsia" w:ascii="Times New Roman" w:hAnsi="Times New Roman" w:eastAsia="宋体" w:cs="Times New Roman"/>
          <w:bCs w:val="0"/>
          <w:color w:val="auto"/>
          <w:kern w:val="2"/>
          <w:szCs w:val="20"/>
          <w:highlight w:val="none"/>
          <w:lang w:val="en-US" w:bidi="ar-SA"/>
        </w:rPr>
        <w:t>编制依据</w:t>
      </w:r>
      <w:bookmarkEnd w:id="69"/>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70" w:name="_bookmark12"/>
      <w:bookmarkEnd w:id="70"/>
      <w:bookmarkStart w:id="71" w:name="_bookmark12"/>
      <w:bookmarkEnd w:id="71"/>
      <w:bookmarkStart w:id="72" w:name="_Toc10337"/>
      <w:bookmarkStart w:id="73" w:name="_Toc12555"/>
      <w:bookmarkStart w:id="74" w:name="_Toc11108"/>
      <w:r>
        <w:rPr>
          <w:rFonts w:ascii="Times New Roman" w:hAnsi="Times New Roman" w:eastAsia="宋体" w:cs="Times New Roman"/>
          <w:bCs w:val="0"/>
          <w:color w:val="auto"/>
          <w:szCs w:val="20"/>
          <w:highlight w:val="none"/>
          <w:lang w:val="en-US" w:bidi="ar-SA"/>
        </w:rPr>
        <w:t>2.1.1法律、法规及规章</w:t>
      </w:r>
      <w:bookmarkEnd w:id="72"/>
      <w:bookmarkEnd w:id="73"/>
      <w:bookmarkEnd w:id="74"/>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（1）《中华人民共和国环境保护法》（2015年1月1日）；</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（2）《中华人民共和国环境影响评价法》（</w:t>
      </w:r>
      <w:r>
        <w:rPr>
          <w:rFonts w:hint="default" w:ascii="Times New Roman" w:hAnsi="Times New Roman" w:eastAsia="宋体" w:cs="Times New Roman"/>
          <w:color w:val="auto"/>
          <w:sz w:val="24"/>
          <w:highlight w:val="none"/>
          <w:lang w:val="en-US" w:eastAsia="zh-CN"/>
        </w:rPr>
        <w:t>修订）</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2018年12月29日</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（3）《中华人民共和国水污染防治法》（2018年1月1日）；</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（4）《中华人民共和国大气污染防治法》（</w:t>
      </w:r>
      <w:r>
        <w:rPr>
          <w:rFonts w:hint="default" w:ascii="Times New Roman" w:hAnsi="Times New Roman" w:eastAsia="宋体" w:cs="Times New Roman"/>
          <w:color w:val="auto"/>
          <w:sz w:val="24"/>
          <w:highlight w:val="none"/>
          <w:lang w:val="en-US" w:eastAsia="zh-CN"/>
        </w:rPr>
        <w:t>2018年10月26日</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（5）《中华人民共和国环境噪声污染防治法》（</w:t>
      </w:r>
      <w:r>
        <w:rPr>
          <w:rFonts w:hint="default" w:ascii="Times New Roman" w:hAnsi="Times New Roman" w:eastAsia="宋体" w:cs="Times New Roman"/>
          <w:color w:val="auto"/>
          <w:sz w:val="24"/>
          <w:highlight w:val="none"/>
          <w:lang w:val="en-US" w:eastAsia="zh-CN"/>
        </w:rPr>
        <w:t>2018年12月29日</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（6）《中华人民共和国固体废物污染环境防治法》（</w:t>
      </w:r>
      <w:r>
        <w:rPr>
          <w:rFonts w:hint="default" w:ascii="Times New Roman" w:hAnsi="Times New Roman" w:eastAsia="宋体" w:cs="Times New Roman"/>
          <w:color w:val="auto"/>
          <w:sz w:val="24"/>
          <w:highlight w:val="none"/>
          <w:lang w:val="en-US" w:eastAsia="zh-CN"/>
        </w:rPr>
        <w:t>2020年4月29日修订，2020年9月1日起施行</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（7）《中华人民共和国清洁生产促进法》（2012年7月1日）；</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（8）《中华人民共和国循环经济促进法》（2018年10月26日）；</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（9）《建设项目环境保护管理条例》（</w:t>
      </w:r>
      <w:r>
        <w:rPr>
          <w:rFonts w:hint="default" w:ascii="Times New Roman" w:hAnsi="Times New Roman" w:eastAsia="宋体" w:cs="Times New Roman"/>
          <w:color w:val="auto"/>
          <w:sz w:val="24"/>
          <w:highlight w:val="none"/>
          <w:lang w:val="en-US" w:eastAsia="zh-CN"/>
        </w:rPr>
        <w:t>中华人民共和国国务院令第682号，2017</w:t>
      </w:r>
      <w:r>
        <w:rPr>
          <w:rFonts w:hint="eastAsia" w:ascii="Times New Roman" w:hAnsi="Times New Roman" w:eastAsia="宋体" w:cs="Times New Roman"/>
          <w:color w:val="auto"/>
          <w:sz w:val="24"/>
          <w:highlight w:val="none"/>
          <w:lang w:val="en-US" w:eastAsia="zh-CN"/>
        </w:rPr>
        <w:t>年</w:t>
      </w:r>
      <w:r>
        <w:rPr>
          <w:rFonts w:hint="default" w:ascii="Times New Roman" w:hAnsi="Times New Roman" w:eastAsia="宋体" w:cs="Times New Roman"/>
          <w:color w:val="auto"/>
          <w:sz w:val="24"/>
          <w:highlight w:val="none"/>
          <w:lang w:val="en-US" w:eastAsia="zh-CN"/>
        </w:rPr>
        <w:t>10</w:t>
      </w:r>
      <w:r>
        <w:rPr>
          <w:rFonts w:hint="eastAsia" w:ascii="Times New Roman" w:hAnsi="Times New Roman" w:eastAsia="宋体" w:cs="Times New Roman"/>
          <w:color w:val="auto"/>
          <w:sz w:val="24"/>
          <w:highlight w:val="none"/>
          <w:lang w:val="en-US" w:eastAsia="zh-CN"/>
        </w:rPr>
        <w:t>月</w:t>
      </w:r>
      <w:r>
        <w:rPr>
          <w:rFonts w:hint="default" w:ascii="Times New Roman" w:hAnsi="Times New Roman" w:eastAsia="宋体" w:cs="Times New Roman"/>
          <w:color w:val="auto"/>
          <w:sz w:val="24"/>
          <w:highlight w:val="none"/>
          <w:lang w:val="en-US" w:eastAsia="zh-CN"/>
        </w:rPr>
        <w:t>01</w:t>
      </w:r>
      <w:r>
        <w:rPr>
          <w:rFonts w:hint="eastAsia" w:ascii="Times New Roman" w:hAnsi="Times New Roman" w:eastAsia="宋体" w:cs="Times New Roman"/>
          <w:color w:val="auto"/>
          <w:sz w:val="24"/>
          <w:highlight w:val="none"/>
          <w:lang w:val="en-US" w:eastAsia="zh-CN"/>
        </w:rPr>
        <w:t>日）；</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ascii="Times New Roman"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）《产业结构调整指导目录（2019年本）》（2021年修改）（</w:t>
      </w:r>
      <w:r>
        <w:rPr>
          <w:rFonts w:hint="default" w:ascii="Times New Roman" w:hAnsi="Times New Roman" w:eastAsia="宋体" w:cs="Times New Roman"/>
          <w:color w:val="auto"/>
          <w:sz w:val="24"/>
          <w:highlight w:val="none"/>
          <w:lang w:val="en-US" w:eastAsia="zh-CN"/>
        </w:rPr>
        <w:t>发改委</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9号令</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ascii="Times New Roman"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）《制浆造纸行业清洁生产评价指标体系》（国家发展改革委2015年第9号公告）。</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ascii="Times New Roman"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《建设项目环境影响评价分类管理名录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2021年版）》</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部令第16号，2021年1月1日起施行）</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13</w:t>
      </w:r>
      <w:r>
        <w:rPr>
          <w:rFonts w:hint="eastAsia" w:ascii="Times New Roman" w:hAnsi="Times New Roman" w:eastAsia="宋体" w:cs="Times New Roman"/>
          <w:color w:val="auto"/>
          <w:sz w:val="24"/>
          <w:highlight w:val="none"/>
          <w:lang w:val="en-US" w:eastAsia="zh-CN"/>
        </w:rPr>
        <w:t>）《黑龙江省大气污染防治条例》（2018修订）；</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14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《国家危险废物名录》</w:t>
      </w:r>
      <w:r>
        <w:rPr>
          <w:rFonts w:hint="eastAsia" w:ascii="Times New Roman" w:hAnsi="Times New Roman" w:eastAsia="宋体" w:cs="Times New Roman"/>
          <w:color w:val="auto"/>
          <w:sz w:val="24"/>
          <w:highlight w:val="none"/>
          <w:lang w:val="en-US" w:eastAsia="zh-CN"/>
        </w:rPr>
        <w:t>（2021年版）（部令第15号</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（2021年1月1日起实施）。</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hint="eastAsia" w:ascii="Times New Roman" w:hAnsi="Times New Roman" w:eastAsia="宋体" w:cs="Times New Roman"/>
          <w:bCs w:val="0"/>
          <w:color w:val="auto"/>
          <w:szCs w:val="20"/>
          <w:highlight w:val="none"/>
          <w:lang w:val="en-US" w:bidi="ar-SA"/>
        </w:rPr>
      </w:pPr>
      <w:bookmarkStart w:id="75" w:name="_Toc32470"/>
      <w:r>
        <w:rPr>
          <w:rFonts w:ascii="Times New Roman" w:hAnsi="Times New Roman" w:eastAsia="宋体" w:cs="Times New Roman"/>
          <w:bCs w:val="0"/>
          <w:color w:val="auto"/>
          <w:szCs w:val="20"/>
          <w:highlight w:val="none"/>
          <w:lang w:val="en-US" w:bidi="ar-SA"/>
        </w:rPr>
        <w:t>2.1.2技术导则及规范</w:t>
      </w:r>
      <w:bookmarkEnd w:id="75"/>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bookmarkStart w:id="76" w:name="_Toc3774"/>
      <w:bookmarkStart w:id="77" w:name="_Toc11706"/>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《建设项目环境影响评价技术导则  总纲》</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HJ2.1-2016）；</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《环境影响评价技术导则  大气环境》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HJ2.2-2018）；</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《环境影响评价技术导则  地面水环境》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HJ2.3-2018）；</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《环境影响评价技术导则  声环境》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HJ2.4-20</w:t>
      </w:r>
      <w:r>
        <w:rPr>
          <w:rFonts w:hint="eastAsia" w:ascii="Times New Roman" w:cs="Times New Roman"/>
          <w:color w:val="auto"/>
          <w:sz w:val="24"/>
          <w:highlight w:val="none"/>
          <w:lang w:val="en-US" w:eastAsia="zh-CN"/>
        </w:rPr>
        <w:t>21</w:t>
      </w:r>
      <w:r>
        <w:rPr>
          <w:rFonts w:hint="default"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《环境影响评价技术导则  地下水环境》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HJ610-2016）；</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 xml:space="preserve">《环境影响评价技术导则  </w:t>
      </w:r>
      <w:r>
        <w:rPr>
          <w:rFonts w:hint="eastAsia" w:ascii="Times New Roman" w:hAnsi="Times New Roman" w:eastAsia="宋体" w:cs="Times New Roman"/>
          <w:color w:val="auto"/>
          <w:sz w:val="24"/>
          <w:highlight w:val="none"/>
          <w:lang w:val="en-US" w:eastAsia="zh-CN"/>
        </w:rPr>
        <w:t>生态影响</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HJ19-20</w:t>
      </w:r>
      <w:r>
        <w:rPr>
          <w:rFonts w:hint="eastAsia" w:ascii="Times New Roman" w:cs="Times New Roman"/>
          <w:color w:val="auto"/>
          <w:sz w:val="24"/>
          <w:highlight w:val="none"/>
          <w:lang w:val="en-US" w:eastAsia="zh-CN"/>
        </w:rPr>
        <w:t>22</w:t>
      </w:r>
      <w:r>
        <w:rPr>
          <w:rFonts w:hint="default"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 xml:space="preserve">《环境影响评价技术导则 </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lang w:val="en-US" w:eastAsia="zh-CN"/>
        </w:rPr>
        <w:t>土壤环境</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试行）》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HJ964-2018</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（8）《土壤环境质量 建设用地土壤污染风险管控标准（试行）》（</w:t>
      </w:r>
      <w:r>
        <w:rPr>
          <w:rFonts w:hint="default" w:ascii="Times New Roman" w:hAnsi="Times New Roman" w:eastAsia="宋体" w:cs="Times New Roman"/>
          <w:color w:val="auto"/>
          <w:sz w:val="24"/>
          <w:highlight w:val="none"/>
          <w:lang w:val="en-US" w:eastAsia="zh-CN"/>
        </w:rPr>
        <w:t>GB36600-2018</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土壤环境质量 农用地土壤污染风险管控标准（试行）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GB15618-2018</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《制浆造纸工业污染防治可行技术指南》</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HJ2302-2018）；</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《污染源源强核算技术指南  制浆造纸》</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HJ887-2018）；</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《制浆造纸企业环境守法导则》</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环办函</w:t>
      </w:r>
      <w:r>
        <w:rPr>
          <w:rFonts w:hint="eastAsia" w:ascii="Times New Roman" w:hAnsi="Times New Roman" w:eastAsia="宋体" w:cs="Times New Roman"/>
          <w:color w:val="auto"/>
          <w:sz w:val="24"/>
          <w:highlight w:val="none"/>
          <w:lang w:val="en-US" w:eastAsia="zh-CN"/>
        </w:rPr>
        <w:t>[2015]</w:t>
      </w:r>
      <w:r>
        <w:rPr>
          <w:rFonts w:hint="default" w:ascii="Times New Roman" w:hAnsi="Times New Roman" w:eastAsia="宋体" w:cs="Times New Roman"/>
          <w:color w:val="auto"/>
          <w:sz w:val="24"/>
          <w:highlight w:val="none"/>
          <w:lang w:val="en-US" w:eastAsia="zh-CN"/>
        </w:rPr>
        <w:t>882号）</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（13）</w:t>
      </w:r>
      <w:r>
        <w:rPr>
          <w:rFonts w:hint="default" w:ascii="Times New Roman" w:hAnsi="Times New Roman" w:eastAsia="宋体" w:cs="Times New Roman"/>
          <w:color w:val="auto"/>
          <w:sz w:val="24"/>
          <w:highlight w:val="none"/>
          <w:lang w:val="en-US" w:eastAsia="zh-CN"/>
        </w:rPr>
        <w:t>《制浆造纸行业清洁生产评价指标体系》</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国家发改委、环境保护部、 工业信息化部公告2015年第9号</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（14）</w:t>
      </w:r>
      <w:r>
        <w:rPr>
          <w:rFonts w:hint="default" w:ascii="Times New Roman" w:hAnsi="Times New Roman" w:eastAsia="宋体" w:cs="Times New Roman"/>
          <w:color w:val="auto"/>
          <w:sz w:val="24"/>
          <w:highlight w:val="none"/>
          <w:lang w:val="en-US" w:eastAsia="zh-CN"/>
        </w:rPr>
        <w:t>《造纸工业污染防治技术政策》</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公告2017年第35号</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ascii="Times New Roman"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《建设项目危险废物环境影响评价指南》</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环保部公告2017年第43号），2017年10月1日施行</w:t>
      </w:r>
      <w:r>
        <w:rPr>
          <w:rFonts w:hint="eastAsia" w:ascii="Times New Roman" w:hAnsi="Times New Roman" w:eastAsia="宋体" w:cs="Times New Roman"/>
          <w:color w:val="auto"/>
          <w:sz w:val="24"/>
          <w:highlight w:val="none"/>
          <w:lang w:val="en-US" w:eastAsia="zh-CN"/>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78" w:name="_Toc30125"/>
      <w:r>
        <w:rPr>
          <w:rFonts w:ascii="Times New Roman" w:hAnsi="Times New Roman" w:eastAsia="宋体" w:cs="Times New Roman"/>
          <w:bCs w:val="0"/>
          <w:color w:val="auto"/>
          <w:szCs w:val="20"/>
          <w:highlight w:val="none"/>
          <w:lang w:val="en-US" w:bidi="ar-SA"/>
        </w:rPr>
        <w:t>2.1.3相关文件</w:t>
      </w:r>
      <w:bookmarkEnd w:id="76"/>
      <w:bookmarkEnd w:id="77"/>
      <w:bookmarkEnd w:id="78"/>
    </w:p>
    <w:p>
      <w:pPr>
        <w:keepNext w:val="0"/>
        <w:keepLines w:val="0"/>
        <w:pageBreakBefore w:val="0"/>
        <w:widowControl w:val="0"/>
        <w:numPr>
          <w:ilvl w:val="0"/>
          <w:numId w:val="1"/>
        </w:numPr>
        <w:kinsoku/>
        <w:wordWrap/>
        <w:overflowPunct/>
        <w:topLinePunct w:val="0"/>
        <w:autoSpaceDE/>
        <w:autoSpaceDN/>
        <w:bidi w:val="0"/>
        <w:adjustRightInd/>
        <w:snapToGrid/>
        <w:spacing w:before="0" w:line="500" w:lineRule="exact"/>
        <w:ind w:left="0"/>
        <w:textAlignment w:val="auto"/>
        <w:rPr>
          <w:color w:val="auto"/>
          <w:highlight w:val="none"/>
        </w:rPr>
      </w:pPr>
      <w:r>
        <w:rPr>
          <w:color w:val="auto"/>
          <w:highlight w:val="none"/>
        </w:rPr>
        <w:t>建设单位提供资料；</w:t>
      </w:r>
    </w:p>
    <w:p>
      <w:pPr>
        <w:keepNext w:val="0"/>
        <w:keepLines w:val="0"/>
        <w:pageBreakBefore w:val="0"/>
        <w:widowControl w:val="0"/>
        <w:numPr>
          <w:ilvl w:val="0"/>
          <w:numId w:val="1"/>
        </w:numPr>
        <w:kinsoku/>
        <w:wordWrap/>
        <w:overflowPunct/>
        <w:topLinePunct w:val="0"/>
        <w:autoSpaceDE/>
        <w:autoSpaceDN/>
        <w:bidi w:val="0"/>
        <w:adjustRightInd/>
        <w:snapToGrid/>
        <w:spacing w:before="0" w:line="500" w:lineRule="exact"/>
        <w:ind w:left="0"/>
        <w:textAlignment w:val="auto"/>
        <w:rPr>
          <w:color w:val="auto"/>
          <w:highlight w:val="none"/>
        </w:rPr>
      </w:pPr>
      <w:r>
        <w:rPr>
          <w:color w:val="auto"/>
          <w:highlight w:val="none"/>
        </w:rPr>
        <w:t>项目建设单位与评价单位签订的环境影响评价合同。</w:t>
      </w:r>
    </w:p>
    <w:p>
      <w:pPr>
        <w:keepNext w:val="0"/>
        <w:keepLines w:val="0"/>
        <w:pageBreakBefore w:val="0"/>
        <w:widowControl w:val="0"/>
        <w:numPr>
          <w:ilvl w:val="0"/>
          <w:numId w:val="1"/>
        </w:numPr>
        <w:kinsoku/>
        <w:wordWrap/>
        <w:overflowPunct/>
        <w:topLinePunct w:val="0"/>
        <w:autoSpaceDE/>
        <w:autoSpaceDN/>
        <w:bidi w:val="0"/>
        <w:adjustRightInd/>
        <w:snapToGrid/>
        <w:spacing w:before="0" w:line="500" w:lineRule="exact"/>
        <w:ind w:left="0"/>
        <w:textAlignment w:val="auto"/>
        <w:rPr>
          <w:rFonts w:hint="eastAsia"/>
          <w:color w:val="auto"/>
          <w:highlight w:val="none"/>
          <w:lang w:eastAsia="zh-CN"/>
        </w:rPr>
      </w:pPr>
      <w:r>
        <w:rPr>
          <w:rFonts w:hint="eastAsia"/>
          <w:color w:val="auto"/>
          <w:highlight w:val="none"/>
          <w:lang w:eastAsia="zh-CN"/>
        </w:rPr>
        <w:t>企业投资项目备案承诺书（项目代码</w:t>
      </w:r>
      <w:r>
        <w:rPr>
          <w:color w:val="auto"/>
          <w:highlight w:val="none"/>
        </w:rPr>
        <w:t>：</w:t>
      </w:r>
      <w:r>
        <w:rPr>
          <w:rFonts w:hint="eastAsia"/>
          <w:color w:val="auto"/>
          <w:highlight w:val="none"/>
          <w:lang w:val="en-US" w:eastAsia="zh-CN"/>
        </w:rPr>
        <w:t>2203-230606-04-02-408189</w:t>
      </w:r>
      <w:r>
        <w:rPr>
          <w:color w:val="auto"/>
          <w:highlight w:val="none"/>
        </w:rPr>
        <w:t>）</w:t>
      </w:r>
    </w:p>
    <w:p>
      <w:pPr>
        <w:keepNext w:val="0"/>
        <w:keepLines w:val="0"/>
        <w:pageBreakBefore w:val="0"/>
        <w:widowControl w:val="0"/>
        <w:numPr>
          <w:ilvl w:val="0"/>
          <w:numId w:val="1"/>
        </w:numPr>
        <w:kinsoku/>
        <w:wordWrap/>
        <w:overflowPunct/>
        <w:topLinePunct w:val="0"/>
        <w:autoSpaceDE/>
        <w:autoSpaceDN/>
        <w:bidi w:val="0"/>
        <w:adjustRightInd/>
        <w:snapToGrid/>
        <w:spacing w:before="0" w:line="500" w:lineRule="exact"/>
        <w:ind w:left="0"/>
        <w:textAlignment w:val="auto"/>
        <w:rPr>
          <w:rFonts w:hint="eastAsia"/>
          <w:color w:val="auto"/>
          <w:highlight w:val="none"/>
          <w:lang w:eastAsia="zh-CN"/>
        </w:rPr>
      </w:pPr>
      <w:r>
        <w:rPr>
          <w:rFonts w:hint="eastAsia"/>
          <w:color w:val="auto"/>
          <w:highlight w:val="none"/>
          <w:lang w:eastAsia="zh-CN"/>
        </w:rPr>
        <w:t>企业原项目环评</w:t>
      </w:r>
      <w:r>
        <w:rPr>
          <w:rFonts w:hint="eastAsia"/>
          <w:color w:val="auto"/>
          <w:highlight w:val="none"/>
          <w:lang w:val="en-US" w:eastAsia="zh-CN"/>
        </w:rPr>
        <w:t>《10000吨/年生活用纸建设项目环境影响报告书》（批复文号：同环建字[2007]3号）</w:t>
      </w:r>
    </w:p>
    <w:p>
      <w:pPr>
        <w:pStyle w:val="27"/>
        <w:rPr>
          <w:rFonts w:hint="default"/>
          <w:color w:val="auto"/>
          <w:highlight w:val="none"/>
          <w:lang w:val="en-US" w:eastAsia="zh-CN"/>
        </w:rPr>
      </w:pPr>
      <w:r>
        <w:rPr>
          <w:rFonts w:hint="eastAsia"/>
          <w:color w:val="auto"/>
          <w:highlight w:val="none"/>
          <w:lang w:val="en-US" w:eastAsia="zh-CN"/>
        </w:rPr>
        <w:t>（5）企业原项目验收《大庆市李氏纸业制造有限责任公司10000t/a生活用纸建设项目竣工环境保护验收监测报告》（庆环检字[2008]第0921号）</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79" w:name="_bookmark18"/>
      <w:bookmarkEnd w:id="79"/>
      <w:bookmarkStart w:id="80" w:name="_bookmark18"/>
      <w:bookmarkEnd w:id="80"/>
      <w:bookmarkStart w:id="81" w:name="_Toc24692"/>
      <w:r>
        <w:rPr>
          <w:rFonts w:hint="eastAsia" w:ascii="Times New Roman" w:hAnsi="Times New Roman" w:eastAsia="宋体" w:cs="Times New Roman"/>
          <w:bCs w:val="0"/>
          <w:color w:val="auto"/>
          <w:kern w:val="2"/>
          <w:szCs w:val="20"/>
          <w:highlight w:val="none"/>
          <w:lang w:val="en-US" w:eastAsia="zh-CN" w:bidi="ar-SA"/>
        </w:rPr>
        <w:t>2.2</w:t>
      </w:r>
      <w:r>
        <w:rPr>
          <w:rFonts w:hint="eastAsia" w:ascii="Times New Roman" w:hAnsi="Times New Roman" w:eastAsia="宋体" w:cs="Times New Roman"/>
          <w:bCs w:val="0"/>
          <w:color w:val="auto"/>
          <w:kern w:val="2"/>
          <w:szCs w:val="20"/>
          <w:highlight w:val="none"/>
          <w:lang w:val="en-US" w:bidi="ar-SA"/>
        </w:rPr>
        <w:t>评价目的和评价原则</w:t>
      </w:r>
      <w:bookmarkEnd w:id="81"/>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82" w:name="_bookmark19"/>
      <w:bookmarkEnd w:id="82"/>
      <w:bookmarkStart w:id="83" w:name="_bookmark19"/>
      <w:bookmarkEnd w:id="83"/>
      <w:bookmarkStart w:id="84" w:name="_Toc14443"/>
      <w:r>
        <w:rPr>
          <w:rFonts w:hint="eastAsia" w:ascii="Times New Roman" w:hAnsi="Times New Roman" w:eastAsia="宋体" w:cs="Times New Roman"/>
          <w:bCs w:val="0"/>
          <w:color w:val="auto"/>
          <w:szCs w:val="20"/>
          <w:highlight w:val="none"/>
          <w:lang w:val="en-US" w:eastAsia="zh-CN" w:bidi="ar-SA"/>
        </w:rPr>
        <w:t>2.2.1</w:t>
      </w:r>
      <w:r>
        <w:rPr>
          <w:rFonts w:ascii="Times New Roman" w:hAnsi="Times New Roman" w:eastAsia="宋体" w:cs="Times New Roman"/>
          <w:bCs w:val="0"/>
          <w:color w:val="auto"/>
          <w:szCs w:val="20"/>
          <w:highlight w:val="none"/>
          <w:lang w:val="en-US" w:bidi="ar-SA"/>
        </w:rPr>
        <w:t>评价目的</w:t>
      </w:r>
      <w:bookmarkEnd w:id="84"/>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（1）通过工程分析，掌握工程的“三废”污染物的排放特征和治理措施，为环境影响评价、防治对策和“总量控制”提供基础资料。</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（2）通过环境质量现状调查和区域污染源调查，了解企业周围区域的自然环境、社会环境和污染源状况。</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通过评价工程的“三废”污染物排放对受纳环境造成影响的范围和程度，并提出相应的防治措施。对污染防治措施的可行性进行分析，对其达标情况、环保投资、运行费用等进行环境损益分析，并提出必要的建议。</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（4）通过核算工程的污染物排放量，评价工程的最终排污量是否符合总量控制计划。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总之，通过环境影响评价，论证工程在环境方面的可行性，并为其执行“三同时”制度以及环境管理、环境监控提供科学的依据。</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hint="default" w:ascii="Times New Roman" w:hAnsi="Times New Roman" w:eastAsia="宋体" w:cs="Times New Roman"/>
          <w:bCs w:val="0"/>
          <w:color w:val="auto"/>
          <w:szCs w:val="20"/>
          <w:highlight w:val="none"/>
          <w:lang w:val="en-US" w:eastAsia="zh-CN" w:bidi="ar-SA"/>
        </w:rPr>
      </w:pPr>
      <w:bookmarkStart w:id="85" w:name="_bookmark20"/>
      <w:bookmarkEnd w:id="85"/>
      <w:bookmarkStart w:id="86" w:name="_bookmark20"/>
      <w:bookmarkEnd w:id="86"/>
      <w:bookmarkStart w:id="87" w:name="_Toc5391"/>
      <w:r>
        <w:rPr>
          <w:rFonts w:hint="eastAsia" w:ascii="Times New Roman" w:hAnsi="Times New Roman" w:eastAsia="宋体" w:cs="Times New Roman"/>
          <w:bCs w:val="0"/>
          <w:color w:val="auto"/>
          <w:szCs w:val="20"/>
          <w:highlight w:val="none"/>
          <w:lang w:val="en-US" w:eastAsia="zh-CN" w:bidi="ar-SA"/>
        </w:rPr>
        <w:t>2.2.2</w:t>
      </w:r>
      <w:r>
        <w:rPr>
          <w:rFonts w:hint="default" w:ascii="Times New Roman" w:hAnsi="Times New Roman" w:eastAsia="宋体" w:cs="Times New Roman"/>
          <w:bCs w:val="0"/>
          <w:color w:val="auto"/>
          <w:szCs w:val="20"/>
          <w:highlight w:val="none"/>
          <w:lang w:val="en-US" w:eastAsia="zh-CN" w:bidi="ar-SA"/>
        </w:rPr>
        <w:t>评价原则</w:t>
      </w:r>
      <w:bookmarkEnd w:id="87"/>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突出环境影响评价的源头预防作用，坚持保护和改善环境质量。</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（1）依法评价：贯彻执行我国环境保护相关法律法规、标准、政策和规划等，优化项目建设，服务环境管理。</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（2）科学评价：规范环境影响评价方法，科学分析项目建设对环境质量的影响。</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（3）突出重点：根据建设项目的工程内容及其特点，明确与环境要素间的作用效应关系，根据影响评价结论和审查意见，充分利用符合时效的数据资料及成果，对建设项目主要环境影响予以重点分析和评价。</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88" w:name="_bookmark21"/>
      <w:bookmarkEnd w:id="88"/>
      <w:bookmarkStart w:id="89" w:name="_bookmark21"/>
      <w:bookmarkEnd w:id="89"/>
      <w:bookmarkStart w:id="90" w:name="_Toc2357"/>
      <w:r>
        <w:rPr>
          <w:rFonts w:hint="eastAsia" w:ascii="Times New Roman" w:hAnsi="Times New Roman" w:eastAsia="宋体" w:cs="Times New Roman"/>
          <w:bCs w:val="0"/>
          <w:color w:val="auto"/>
          <w:kern w:val="2"/>
          <w:szCs w:val="20"/>
          <w:highlight w:val="none"/>
          <w:lang w:val="en-US" w:eastAsia="zh-CN" w:bidi="ar-SA"/>
        </w:rPr>
        <w:t>2.3</w:t>
      </w:r>
      <w:r>
        <w:rPr>
          <w:rFonts w:hint="eastAsia" w:ascii="Times New Roman" w:hAnsi="Times New Roman" w:eastAsia="宋体" w:cs="Times New Roman"/>
          <w:bCs w:val="0"/>
          <w:color w:val="auto"/>
          <w:kern w:val="2"/>
          <w:szCs w:val="20"/>
          <w:highlight w:val="none"/>
          <w:lang w:val="en-US" w:bidi="ar-SA"/>
        </w:rPr>
        <w:t>环境影响识别</w:t>
      </w:r>
      <w:bookmarkEnd w:id="90"/>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91" w:name="_bookmark22"/>
      <w:bookmarkEnd w:id="91"/>
      <w:bookmarkStart w:id="92" w:name="_bookmark22"/>
      <w:bookmarkEnd w:id="92"/>
      <w:bookmarkStart w:id="93" w:name="_Toc10112"/>
      <w:r>
        <w:rPr>
          <w:rFonts w:hint="eastAsia" w:ascii="Times New Roman" w:hAnsi="Times New Roman" w:eastAsia="宋体" w:cs="Times New Roman"/>
          <w:bCs w:val="0"/>
          <w:color w:val="auto"/>
          <w:szCs w:val="20"/>
          <w:highlight w:val="none"/>
          <w:lang w:val="en-US" w:eastAsia="zh-CN" w:bidi="ar-SA"/>
        </w:rPr>
        <w:t>2.3.1</w:t>
      </w:r>
      <w:r>
        <w:rPr>
          <w:rFonts w:ascii="Times New Roman" w:hAnsi="Times New Roman" w:eastAsia="宋体" w:cs="Times New Roman"/>
          <w:bCs w:val="0"/>
          <w:color w:val="auto"/>
          <w:szCs w:val="20"/>
          <w:highlight w:val="none"/>
          <w:lang w:val="en-US" w:bidi="ar-SA"/>
        </w:rPr>
        <w:t>环境影响因素识别</w:t>
      </w:r>
      <w:bookmarkEnd w:id="93"/>
    </w:p>
    <w:p>
      <w:pPr>
        <w:bidi w:val="0"/>
        <w:rPr>
          <w:rFonts w:hint="default"/>
          <w:color w:val="auto"/>
          <w:highlight w:val="none"/>
          <w:lang w:val="en-US" w:eastAsia="zh-CN"/>
        </w:rPr>
      </w:pPr>
      <w:r>
        <w:rPr>
          <w:rFonts w:hint="eastAsia"/>
          <w:color w:val="auto"/>
          <w:highlight w:val="none"/>
          <w:lang w:eastAsia="zh-CN"/>
        </w:rPr>
        <w:t>本项目产生的废水主要为斜筛脱水机脱下的水、网下、压榨脱下的水和锅炉排水，全部排入污水处理站，处理后全部回用于生产工艺。</w:t>
      </w:r>
      <w:r>
        <w:rPr>
          <w:rFonts w:hint="eastAsia" w:cs="Times New Roman"/>
          <w:color w:val="auto"/>
          <w:highlight w:val="none"/>
          <w:lang w:val="en-US" w:eastAsia="zh-CN"/>
        </w:rPr>
        <w:t>生活污水</w:t>
      </w:r>
      <w:r>
        <w:rPr>
          <w:rFonts w:hint="eastAsia" w:cs="Times New Roman"/>
          <w:color w:val="auto"/>
          <w:highlight w:val="none"/>
          <w:lang w:val="zh-CN" w:eastAsia="zh-CN"/>
        </w:rPr>
        <w:t>采取防渗旱厕回收还田</w:t>
      </w:r>
      <w:r>
        <w:rPr>
          <w:rFonts w:hint="eastAsia"/>
          <w:color w:val="auto"/>
          <w:highlight w:val="none"/>
          <w:lang w:val="en-US" w:eastAsia="zh-CN"/>
        </w:rPr>
        <w:t>。</w:t>
      </w:r>
    </w:p>
    <w:p>
      <w:pPr>
        <w:bidi w:val="0"/>
        <w:rPr>
          <w:rFonts w:hint="eastAsia"/>
          <w:color w:val="auto"/>
          <w:highlight w:val="none"/>
          <w:lang w:eastAsia="zh-CN"/>
        </w:rPr>
      </w:pPr>
      <w:r>
        <w:rPr>
          <w:rFonts w:hint="eastAsia"/>
          <w:color w:val="auto"/>
          <w:highlight w:val="none"/>
          <w:lang w:eastAsia="zh-CN"/>
        </w:rPr>
        <w:t>锅炉烟气经袋式除尘</w:t>
      </w:r>
      <w:r>
        <w:rPr>
          <w:rFonts w:hint="eastAsia"/>
          <w:color w:val="auto"/>
          <w:highlight w:val="none"/>
          <w:lang w:val="en-US" w:eastAsia="zh-CN"/>
        </w:rPr>
        <w:t>+35</w:t>
      </w:r>
      <w:r>
        <w:rPr>
          <w:rFonts w:hint="eastAsia"/>
          <w:color w:val="auto"/>
          <w:highlight w:val="none"/>
          <w:lang w:eastAsia="zh-CN"/>
        </w:rPr>
        <w:t>米高烟囱排出，排放的污染物主要为颗粒物、SO</w:t>
      </w:r>
      <w:r>
        <w:rPr>
          <w:rFonts w:hint="eastAsia"/>
          <w:color w:val="auto"/>
          <w:highlight w:val="none"/>
          <w:vertAlign w:val="subscript"/>
          <w:lang w:eastAsia="zh-CN"/>
        </w:rPr>
        <w:t>2</w:t>
      </w:r>
      <w:r>
        <w:rPr>
          <w:rFonts w:hint="eastAsia"/>
          <w:color w:val="auto"/>
          <w:highlight w:val="none"/>
          <w:lang w:eastAsia="zh-CN"/>
        </w:rPr>
        <w:t>、NO</w:t>
      </w:r>
      <w:r>
        <w:rPr>
          <w:rFonts w:hint="eastAsia"/>
          <w:color w:val="auto"/>
          <w:highlight w:val="none"/>
          <w:vertAlign w:val="subscript"/>
          <w:lang w:eastAsia="zh-CN"/>
        </w:rPr>
        <w:t>X</w:t>
      </w:r>
      <w:r>
        <w:rPr>
          <w:rFonts w:hint="eastAsia"/>
          <w:color w:val="auto"/>
          <w:highlight w:val="none"/>
          <w:lang w:eastAsia="zh-CN"/>
        </w:rPr>
        <w:t>。污水处理站恶臭气体</w:t>
      </w:r>
      <w:r>
        <w:rPr>
          <w:rFonts w:hint="eastAsia"/>
          <w:color w:val="auto"/>
          <w:highlight w:val="none"/>
          <w:lang w:val="en-US" w:eastAsia="zh-CN"/>
        </w:rPr>
        <w:t>收集后</w:t>
      </w:r>
      <w:r>
        <w:rPr>
          <w:rFonts w:hint="eastAsia"/>
          <w:color w:val="auto"/>
          <w:highlight w:val="none"/>
          <w:lang w:eastAsia="zh-CN"/>
        </w:rPr>
        <w:t>经活性炭</w:t>
      </w:r>
      <w:r>
        <w:rPr>
          <w:rFonts w:hint="eastAsia"/>
          <w:color w:val="auto"/>
          <w:highlight w:val="none"/>
          <w:lang w:val="en-US" w:eastAsia="zh-CN"/>
        </w:rPr>
        <w:t>吸附+15米高排气筒排放</w:t>
      </w:r>
      <w:r>
        <w:rPr>
          <w:rFonts w:hint="eastAsia"/>
          <w:color w:val="auto"/>
          <w:highlight w:val="none"/>
          <w:lang w:eastAsia="zh-CN"/>
        </w:rPr>
        <w:t>，主要污染物为NH</w:t>
      </w:r>
      <w:r>
        <w:rPr>
          <w:rFonts w:hint="eastAsia"/>
          <w:color w:val="auto"/>
          <w:highlight w:val="none"/>
          <w:vertAlign w:val="subscript"/>
          <w:lang w:eastAsia="zh-CN"/>
        </w:rPr>
        <w:t>3</w:t>
      </w:r>
      <w:r>
        <w:rPr>
          <w:rFonts w:hint="eastAsia"/>
          <w:color w:val="auto"/>
          <w:highlight w:val="none"/>
          <w:lang w:eastAsia="zh-CN"/>
        </w:rPr>
        <w:t>和H</w:t>
      </w:r>
      <w:r>
        <w:rPr>
          <w:rFonts w:hint="eastAsia"/>
          <w:color w:val="auto"/>
          <w:highlight w:val="none"/>
          <w:vertAlign w:val="subscript"/>
          <w:lang w:eastAsia="zh-CN"/>
        </w:rPr>
        <w:t>2</w:t>
      </w:r>
      <w:r>
        <w:rPr>
          <w:rFonts w:hint="eastAsia"/>
          <w:color w:val="auto"/>
          <w:highlight w:val="none"/>
          <w:lang w:eastAsia="zh-CN"/>
        </w:rPr>
        <w:t>S。</w:t>
      </w:r>
    </w:p>
    <w:p>
      <w:pPr>
        <w:bidi w:val="0"/>
        <w:rPr>
          <w:rFonts w:hint="eastAsia"/>
          <w:color w:val="auto"/>
          <w:highlight w:val="none"/>
          <w:lang w:eastAsia="zh-CN"/>
        </w:rPr>
      </w:pPr>
      <w:r>
        <w:rPr>
          <w:rFonts w:hint="eastAsia"/>
          <w:color w:val="auto"/>
          <w:highlight w:val="none"/>
          <w:lang w:eastAsia="zh-CN"/>
        </w:rPr>
        <w:t>项目噪声源主要为碎浆机、磨浆机、锅炉房风机等设备，噪声声级范围70-100dB（A）。</w:t>
      </w:r>
    </w:p>
    <w:p>
      <w:pPr>
        <w:bidi w:val="0"/>
        <w:rPr>
          <w:rFonts w:hint="eastAsia"/>
          <w:color w:val="auto"/>
          <w:highlight w:val="none"/>
          <w:lang w:eastAsia="zh-CN"/>
        </w:rPr>
      </w:pPr>
      <w:r>
        <w:rPr>
          <w:rFonts w:hint="eastAsia"/>
          <w:color w:val="auto"/>
          <w:highlight w:val="none"/>
          <w:lang w:eastAsia="zh-CN"/>
        </w:rPr>
        <w:t>固体废物主要为污水处理站产生的污泥、锅炉灰渣、员工生活垃圾、废离子交换树脂、</w:t>
      </w:r>
      <w:r>
        <w:rPr>
          <w:rFonts w:hint="eastAsia"/>
          <w:color w:val="auto"/>
          <w:highlight w:val="none"/>
          <w:lang w:val="en-US" w:eastAsia="zh-CN"/>
        </w:rPr>
        <w:t>废活性炭</w:t>
      </w:r>
      <w:r>
        <w:rPr>
          <w:rFonts w:hint="eastAsia"/>
          <w:color w:val="auto"/>
          <w:highlight w:val="none"/>
          <w:lang w:eastAsia="zh-CN"/>
        </w:rPr>
        <w:t>及废润滑油。</w:t>
      </w:r>
    </w:p>
    <w:p>
      <w:pPr>
        <w:bidi w:val="0"/>
        <w:rPr>
          <w:rFonts w:hint="default"/>
          <w:color w:val="auto"/>
          <w:highlight w:val="none"/>
          <w:lang w:val="en-US" w:eastAsia="zh-CN"/>
        </w:rPr>
      </w:pPr>
      <w:r>
        <w:rPr>
          <w:rFonts w:hint="eastAsia"/>
          <w:color w:val="auto"/>
          <w:highlight w:val="none"/>
          <w:lang w:val="en-US" w:eastAsia="zh-CN"/>
        </w:rPr>
        <w:t>本项目不新增占地，在现有厂房内对生产工艺进行技术改造，土建施工，对生态影响较小。</w:t>
      </w:r>
    </w:p>
    <w:p>
      <w:pPr>
        <w:bidi w:val="0"/>
        <w:rPr>
          <w:rFonts w:hint="eastAsia"/>
          <w:color w:val="auto"/>
          <w:highlight w:val="none"/>
          <w:lang w:eastAsia="zh-CN"/>
        </w:rPr>
      </w:pPr>
      <w:r>
        <w:rPr>
          <w:rFonts w:hint="eastAsia"/>
          <w:color w:val="auto"/>
          <w:highlight w:val="none"/>
          <w:lang w:eastAsia="zh-CN"/>
        </w:rPr>
        <w:t>本次评价根据项目特点和区域环境特征，对环境影响要素进行初步识别，具体见表2.3</w:t>
      </w:r>
      <w:r>
        <w:rPr>
          <w:rFonts w:hint="eastAsia"/>
          <w:color w:val="auto"/>
          <w:highlight w:val="none"/>
          <w:lang w:val="en-US" w:eastAsia="zh-CN"/>
        </w:rPr>
        <w:t>.1</w:t>
      </w:r>
      <w:r>
        <w:rPr>
          <w:rFonts w:hint="eastAsia"/>
          <w:color w:val="auto"/>
          <w:highlight w:val="none"/>
          <w:lang w:eastAsia="zh-CN"/>
        </w:rPr>
        <w:t>-1，对</w:t>
      </w:r>
      <w:r>
        <w:rPr>
          <w:rFonts w:hint="eastAsia"/>
          <w:color w:val="auto"/>
          <w:highlight w:val="none"/>
          <w:lang w:val="en-US" w:eastAsia="zh-CN"/>
        </w:rPr>
        <w:t>施工期及</w:t>
      </w:r>
      <w:r>
        <w:rPr>
          <w:rFonts w:hint="eastAsia"/>
          <w:color w:val="auto"/>
          <w:highlight w:val="none"/>
          <w:lang w:eastAsia="zh-CN"/>
        </w:rPr>
        <w:t>运营期废水、废气、噪声、固体废物对周围环境产生的影响进行评价和分析，以及污染控制措施的可行性作为重点评价内容。</w:t>
      </w:r>
    </w:p>
    <w:p>
      <w:pPr>
        <w:bidi w:val="0"/>
        <w:rPr>
          <w:rFonts w:hint="eastAsia"/>
          <w:color w:val="auto"/>
          <w:highlight w:val="none"/>
          <w:lang w:eastAsia="zh-CN"/>
        </w:rPr>
      </w:pPr>
      <w:r>
        <w:rPr>
          <w:rFonts w:hint="eastAsia"/>
          <w:color w:val="auto"/>
          <w:highlight w:val="none"/>
          <w:lang w:eastAsia="zh-CN"/>
        </w:rPr>
        <w:t>表2.3</w:t>
      </w:r>
      <w:r>
        <w:rPr>
          <w:rFonts w:hint="eastAsia"/>
          <w:color w:val="auto"/>
          <w:highlight w:val="none"/>
          <w:lang w:val="en-US" w:eastAsia="zh-CN"/>
        </w:rPr>
        <w:t>.1</w:t>
      </w:r>
      <w:r>
        <w:rPr>
          <w:rFonts w:hint="eastAsia"/>
          <w:color w:val="auto"/>
          <w:highlight w:val="none"/>
          <w:lang w:eastAsia="zh-CN"/>
        </w:rPr>
        <w:t xml:space="preserve">-1 </w:t>
      </w:r>
      <w:r>
        <w:rPr>
          <w:rFonts w:hint="eastAsia"/>
          <w:color w:val="auto"/>
          <w:highlight w:val="none"/>
          <w:lang w:val="en-US" w:eastAsia="zh-CN"/>
        </w:rPr>
        <w:t xml:space="preserve">                 </w:t>
      </w:r>
      <w:r>
        <w:rPr>
          <w:rFonts w:hint="eastAsia"/>
          <w:color w:val="auto"/>
          <w:highlight w:val="none"/>
          <w:lang w:eastAsia="zh-CN"/>
        </w:rPr>
        <w:t xml:space="preserve"> </w:t>
      </w:r>
      <w:r>
        <w:rPr>
          <w:rFonts w:hint="eastAsia"/>
          <w:color w:val="auto"/>
          <w:highlight w:val="none"/>
          <w:lang w:val="en-US" w:eastAsia="zh-CN"/>
        </w:rPr>
        <w:t xml:space="preserve">    </w:t>
      </w:r>
      <w:r>
        <w:rPr>
          <w:rFonts w:hint="eastAsia"/>
          <w:color w:val="auto"/>
          <w:highlight w:val="none"/>
          <w:lang w:eastAsia="zh-CN"/>
        </w:rPr>
        <w:t>环境影响识别矩阵</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896"/>
        <w:gridCol w:w="1190"/>
        <w:gridCol w:w="897"/>
        <w:gridCol w:w="1047"/>
        <w:gridCol w:w="1047"/>
        <w:gridCol w:w="898"/>
        <w:gridCol w:w="893"/>
        <w:gridCol w:w="1200"/>
        <w:gridCol w:w="100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94" w:type="pct"/>
            <w:vMerge w:val="restart"/>
            <w:tcBorders>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bookmarkStart w:id="94" w:name="_bookmark23"/>
            <w:bookmarkEnd w:id="94"/>
            <w:bookmarkStart w:id="95" w:name="_bookmark23"/>
            <w:bookmarkEnd w:id="95"/>
            <w:bookmarkStart w:id="96" w:name="_Toc20892"/>
            <w:r>
              <w:rPr>
                <w:rFonts w:ascii="Times New Roman" w:hAnsi="Times New Roman" w:eastAsia="宋体" w:cs="Times New Roman"/>
                <w:caps w:val="0"/>
                <w:smallCaps w:val="0"/>
                <w:color w:val="auto"/>
                <w:spacing w:val="0"/>
                <w:w w:val="100"/>
                <w:position w:val="0"/>
                <w:sz w:val="21"/>
                <w:szCs w:val="21"/>
                <w:highlight w:val="none"/>
              </w:rPr>
              <w:t xml:space="preserve">工程阶段 </w:t>
            </w:r>
          </w:p>
        </w:tc>
        <w:tc>
          <w:tcPr>
            <w:tcW w:w="656" w:type="pct"/>
            <w:vMerge w:val="restart"/>
            <w:tcBorders>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工程作用因素 </w:t>
            </w:r>
          </w:p>
        </w:tc>
        <w:tc>
          <w:tcPr>
            <w:tcW w:w="3849" w:type="pct"/>
            <w:gridSpan w:val="7"/>
            <w:tcBorders>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工程引起的环境影响及影响程度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5" w:hRule="atLeast"/>
        </w:trPr>
        <w:tc>
          <w:tcPr>
            <w:tcW w:w="494" w:type="pct"/>
            <w:vMerge w:val="continue"/>
            <w:tcBorders>
              <w:top w:val="nil"/>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vMerge w:val="continue"/>
            <w:tcBorders>
              <w:top w:val="nil"/>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环境空气 </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水环境 </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声环境 </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固体废物 </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生态环境 </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人群健康</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土壤环境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3" w:hRule="atLeast"/>
        </w:trPr>
        <w:tc>
          <w:tcPr>
            <w:tcW w:w="494" w:type="pct"/>
            <w:vMerge w:val="restart"/>
            <w:tcBorders>
              <w:top w:val="single" w:color="000000" w:sz="6" w:space="0"/>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施工期</w:t>
            </w:r>
          </w:p>
        </w:tc>
        <w:tc>
          <w:tcPr>
            <w:tcW w:w="656"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渣土垃圾 </w:t>
            </w:r>
          </w:p>
        </w:tc>
        <w:tc>
          <w:tcPr>
            <w:tcW w:w="494"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495"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492"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661"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49" w:type="pct"/>
            <w:tcBorders>
              <w:top w:val="single" w:color="000000" w:sz="6" w:space="0"/>
              <w:left w:val="single" w:color="000000" w:sz="6" w:space="0"/>
              <w:bottom w:val="single" w:color="000000" w:sz="6"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3" w:hRule="atLeast"/>
        </w:trPr>
        <w:tc>
          <w:tcPr>
            <w:tcW w:w="494" w:type="pct"/>
            <w:vMerge w:val="continue"/>
            <w:tcBorders>
              <w:top w:val="nil"/>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物料运输 </w:t>
            </w:r>
          </w:p>
        </w:tc>
        <w:tc>
          <w:tcPr>
            <w:tcW w:w="494"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495"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661"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49" w:type="pct"/>
            <w:tcBorders>
              <w:top w:val="single" w:color="000000" w:sz="6" w:space="0"/>
              <w:left w:val="single" w:color="000000" w:sz="6" w:space="0"/>
              <w:bottom w:val="single" w:color="000000" w:sz="6"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5" w:hRule="atLeast"/>
        </w:trPr>
        <w:tc>
          <w:tcPr>
            <w:tcW w:w="494" w:type="pct"/>
            <w:vMerge w:val="continue"/>
            <w:tcBorders>
              <w:top w:val="nil"/>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施工废水 </w:t>
            </w:r>
          </w:p>
        </w:tc>
        <w:tc>
          <w:tcPr>
            <w:tcW w:w="494"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661"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49" w:type="pct"/>
            <w:tcBorders>
              <w:top w:val="single" w:color="000000" w:sz="6" w:space="0"/>
              <w:left w:val="single" w:color="000000" w:sz="6" w:space="0"/>
              <w:bottom w:val="single" w:color="000000" w:sz="6"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2" w:hRule="atLeast"/>
        </w:trPr>
        <w:tc>
          <w:tcPr>
            <w:tcW w:w="494" w:type="pct"/>
            <w:vMerge w:val="continue"/>
            <w:tcBorders>
              <w:top w:val="nil"/>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施工扬尘 </w:t>
            </w:r>
          </w:p>
        </w:tc>
        <w:tc>
          <w:tcPr>
            <w:tcW w:w="494"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-2S</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661"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49" w:type="pct"/>
            <w:tcBorders>
              <w:top w:val="single" w:color="000000" w:sz="6" w:space="0"/>
              <w:left w:val="single" w:color="000000" w:sz="6" w:space="0"/>
              <w:bottom w:val="single" w:color="000000" w:sz="6"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494" w:type="pct"/>
            <w:vMerge w:val="continue"/>
            <w:tcBorders>
              <w:top w:val="nil"/>
              <w:left w:val="nil"/>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施工噪声 </w:t>
            </w:r>
          </w:p>
        </w:tc>
        <w:tc>
          <w:tcPr>
            <w:tcW w:w="494"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-2S</w:t>
            </w:r>
          </w:p>
        </w:tc>
        <w:tc>
          <w:tcPr>
            <w:tcW w:w="495"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661" w:type="pct"/>
            <w:tcBorders>
              <w:top w:val="single" w:color="000000" w:sz="6" w:space="0"/>
              <w:left w:val="single" w:color="000000" w:sz="6" w:space="0"/>
              <w:bottom w:val="single" w:color="000000" w:sz="6" w:space="0"/>
              <w:right w:val="single" w:color="000000" w:sz="6" w:space="0"/>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49" w:type="pct"/>
            <w:tcBorders>
              <w:top w:val="single" w:color="000000" w:sz="6" w:space="0"/>
              <w:left w:val="single" w:color="000000" w:sz="6" w:space="0"/>
              <w:bottom w:val="single" w:color="000000" w:sz="6"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atLeas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7" w:hRule="atLeast"/>
        </w:trPr>
        <w:tc>
          <w:tcPr>
            <w:tcW w:w="494" w:type="pct"/>
            <w:vMerge w:val="restart"/>
            <w:tcBorders>
              <w:top w:val="single" w:color="000000" w:sz="6" w:space="0"/>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运营期</w:t>
            </w: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物料运输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废气排放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-2L</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废水排放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78"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固废产生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事故风险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-2S</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-1S</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噪声排放 </w:t>
            </w:r>
          </w:p>
        </w:tc>
        <w:tc>
          <w:tcPr>
            <w:tcW w:w="494"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495"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661" w:type="pct"/>
            <w:tcBorders>
              <w:top w:val="single" w:color="000000" w:sz="6" w:space="0"/>
              <w:left w:val="single" w:color="000000" w:sz="6" w:space="0"/>
              <w:bottom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-1L</w:t>
            </w:r>
          </w:p>
        </w:tc>
        <w:tc>
          <w:tcPr>
            <w:tcW w:w="549" w:type="pct"/>
            <w:tcBorders>
              <w:top w:val="single" w:color="000000" w:sz="6" w:space="0"/>
              <w:left w:val="single" w:color="000000" w:sz="6" w:space="0"/>
              <w:bottom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8" w:hRule="atLeast"/>
        </w:trPr>
        <w:tc>
          <w:tcPr>
            <w:tcW w:w="494" w:type="pct"/>
            <w:vMerge w:val="continue"/>
            <w:tcBorders>
              <w:top w:val="nil"/>
              <w:left w:val="nil"/>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656"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xml:space="preserve">厂区绿化 </w:t>
            </w:r>
          </w:p>
        </w:tc>
        <w:tc>
          <w:tcPr>
            <w:tcW w:w="494"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+ 1 L</w:t>
            </w:r>
          </w:p>
        </w:tc>
        <w:tc>
          <w:tcPr>
            <w:tcW w:w="577"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577"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+ 1 L</w:t>
            </w:r>
          </w:p>
        </w:tc>
        <w:tc>
          <w:tcPr>
            <w:tcW w:w="495"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492"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+ 2 L</w:t>
            </w:r>
          </w:p>
        </w:tc>
        <w:tc>
          <w:tcPr>
            <w:tcW w:w="661" w:type="pct"/>
            <w:tcBorders>
              <w:top w:val="single" w:color="000000" w:sz="6" w:space="0"/>
              <w:left w:val="single" w:color="000000" w:sz="6" w:space="0"/>
              <w:right w:val="single" w:color="000000" w:sz="6" w:space="0"/>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+ 1 L</w:t>
            </w:r>
          </w:p>
        </w:tc>
        <w:tc>
          <w:tcPr>
            <w:tcW w:w="549" w:type="pct"/>
            <w:tcBorders>
              <w:top w:val="single" w:color="000000" w:sz="6" w:space="0"/>
              <w:left w:val="single" w:color="000000" w:sz="6" w:space="0"/>
              <w:right w:val="nil"/>
            </w:tcBorders>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+ 2 L</w:t>
            </w:r>
          </w:p>
        </w:tc>
      </w:tr>
    </w:tbl>
    <w:p>
      <w:pPr>
        <w:spacing w:before="6" w:line="244" w:lineRule="auto"/>
        <w:ind w:left="236" w:right="309" w:firstLine="0"/>
        <w:jc w:val="left"/>
        <w:rPr>
          <w:b/>
          <w:sz w:val="21"/>
        </w:rPr>
      </w:pPr>
      <w:r>
        <w:rPr>
          <w:b/>
          <w:spacing w:val="-2"/>
          <w:sz w:val="21"/>
        </w:rPr>
        <w:t>注：表中</w:t>
      </w:r>
      <w:r>
        <w:rPr>
          <w:rFonts w:ascii="Times New Roman" w:hAnsi="Times New Roman" w:eastAsia="Times New Roman"/>
          <w:b/>
          <w:spacing w:val="-2"/>
          <w:sz w:val="21"/>
        </w:rPr>
        <w:t>“+”</w:t>
      </w:r>
      <w:r>
        <w:rPr>
          <w:b/>
          <w:spacing w:val="-2"/>
          <w:sz w:val="21"/>
        </w:rPr>
        <w:t>表示有利影响、</w:t>
      </w:r>
      <w:r>
        <w:rPr>
          <w:rFonts w:ascii="Times New Roman" w:hAnsi="Times New Roman" w:eastAsia="Times New Roman"/>
          <w:b/>
          <w:spacing w:val="-2"/>
          <w:sz w:val="21"/>
        </w:rPr>
        <w:t>“-”</w:t>
      </w:r>
      <w:r>
        <w:rPr>
          <w:b/>
          <w:spacing w:val="-2"/>
          <w:sz w:val="21"/>
        </w:rPr>
        <w:t>表示不利影响；</w:t>
      </w:r>
      <w:r>
        <w:rPr>
          <w:rFonts w:ascii="Times New Roman" w:hAnsi="Times New Roman" w:eastAsia="Times New Roman"/>
          <w:b/>
          <w:spacing w:val="-2"/>
          <w:sz w:val="21"/>
        </w:rPr>
        <w:t>“1”</w:t>
      </w:r>
      <w:r>
        <w:rPr>
          <w:b/>
          <w:spacing w:val="-2"/>
          <w:sz w:val="21"/>
        </w:rPr>
        <w:t>表示轻微影响、</w:t>
      </w:r>
      <w:r>
        <w:rPr>
          <w:rFonts w:ascii="Times New Roman" w:hAnsi="Times New Roman" w:eastAsia="Times New Roman"/>
          <w:b/>
          <w:spacing w:val="-2"/>
          <w:sz w:val="21"/>
        </w:rPr>
        <w:t>“2”</w:t>
      </w:r>
      <w:r>
        <w:rPr>
          <w:b/>
          <w:spacing w:val="-2"/>
          <w:sz w:val="21"/>
        </w:rPr>
        <w:t>表示中等影响、</w:t>
      </w:r>
      <w:r>
        <w:rPr>
          <w:rFonts w:ascii="Times New Roman" w:hAnsi="Times New Roman" w:eastAsia="Times New Roman"/>
          <w:b/>
          <w:spacing w:val="-2"/>
          <w:sz w:val="21"/>
        </w:rPr>
        <w:t>“3”</w:t>
      </w:r>
      <w:r>
        <w:rPr>
          <w:b/>
          <w:spacing w:val="-2"/>
          <w:sz w:val="21"/>
        </w:rPr>
        <w:t>表示重大影响；</w:t>
      </w:r>
      <w:r>
        <w:rPr>
          <w:rFonts w:ascii="Times New Roman" w:hAnsi="Times New Roman" w:eastAsia="Times New Roman"/>
          <w:b/>
          <w:spacing w:val="-2"/>
          <w:sz w:val="21"/>
        </w:rPr>
        <w:t>“L”</w:t>
      </w:r>
      <w:r>
        <w:rPr>
          <w:b/>
          <w:spacing w:val="-2"/>
          <w:sz w:val="21"/>
        </w:rPr>
        <w:t>表示长期影响、</w:t>
      </w:r>
      <w:r>
        <w:rPr>
          <w:rFonts w:ascii="Times New Roman" w:hAnsi="Times New Roman" w:eastAsia="Times New Roman"/>
          <w:b/>
          <w:spacing w:val="-2"/>
          <w:sz w:val="21"/>
        </w:rPr>
        <w:t>“S”</w:t>
      </w:r>
      <w:r>
        <w:rPr>
          <w:b/>
          <w:spacing w:val="-2"/>
          <w:sz w:val="21"/>
        </w:rPr>
        <w:t>表示短期影响、</w:t>
      </w:r>
      <w:r>
        <w:rPr>
          <w:rFonts w:ascii="Times New Roman" w:hAnsi="Times New Roman" w:eastAsia="Times New Roman"/>
          <w:b/>
          <w:spacing w:val="-2"/>
          <w:sz w:val="21"/>
        </w:rPr>
        <w:t>“—”</w:t>
      </w:r>
      <w:r>
        <w:rPr>
          <w:b/>
          <w:spacing w:val="-2"/>
          <w:sz w:val="21"/>
        </w:rPr>
        <w:t>表示无相互作用</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由表2.3</w:t>
      </w:r>
      <w:r>
        <w:rPr>
          <w:rFonts w:hint="eastAsia" w:ascii="宋体" w:hAnsi="Times New Roman" w:eastAsia="宋体" w:cs="Times New Roman"/>
          <w:color w:val="auto"/>
          <w:highlight w:val="none"/>
          <w:lang w:val="en-US" w:eastAsia="zh-CN"/>
        </w:rPr>
        <w:t>.1</w:t>
      </w:r>
      <w:r>
        <w:rPr>
          <w:rFonts w:hint="eastAsia" w:ascii="宋体" w:hAnsi="Times New Roman" w:eastAsia="宋体" w:cs="Times New Roman"/>
          <w:color w:val="auto"/>
          <w:highlight w:val="none"/>
          <w:lang w:eastAsia="zh-CN"/>
        </w:rPr>
        <w:t>-1可知，本项目的建设对环境的影响是多方面的，既存在短期、局部及可恢复的正、负影响，也存在长期的或正或负的影响。施工期主要环境影响因素为环境空气、声环境、生态环境，对社会环境则表现为短期内正影响，均随着施工期的结束而消失；营运期对环境的不利影响是长期存在的，主要影响因素表现在地表水、地下水和声环境等方面，而对当地的经济发展会起到一定的积极作用，有利于当地经济的发展。</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r>
        <w:rPr>
          <w:rFonts w:hint="eastAsia" w:ascii="Times New Roman" w:hAnsi="Times New Roman" w:eastAsia="宋体" w:cs="Times New Roman"/>
          <w:bCs w:val="0"/>
          <w:color w:val="auto"/>
          <w:szCs w:val="20"/>
          <w:highlight w:val="none"/>
          <w:lang w:val="en-US" w:eastAsia="zh-CN" w:bidi="ar-SA"/>
        </w:rPr>
        <w:t>2.3.2</w:t>
      </w:r>
      <w:r>
        <w:rPr>
          <w:rFonts w:ascii="Times New Roman" w:hAnsi="Times New Roman" w:eastAsia="宋体" w:cs="Times New Roman"/>
          <w:bCs w:val="0"/>
          <w:color w:val="auto"/>
          <w:szCs w:val="20"/>
          <w:highlight w:val="none"/>
          <w:lang w:val="en-US" w:bidi="ar-SA"/>
        </w:rPr>
        <w:t>环境影响评价因子筛选</w:t>
      </w:r>
      <w:bookmarkEnd w:id="96"/>
    </w:p>
    <w:p>
      <w:pPr>
        <w:bidi w:val="0"/>
        <w:ind w:firstLine="883"/>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本项目对环境影响</w:t>
      </w:r>
      <w:r>
        <w:rPr>
          <w:rFonts w:hint="eastAsia" w:ascii="Times New Roman" w:cs="Times New Roman"/>
          <w:color w:val="auto"/>
          <w:highlight w:val="none"/>
          <w:lang w:val="en-US" w:eastAsia="zh-CN"/>
        </w:rPr>
        <w:t>识别结果</w:t>
      </w:r>
      <w:r>
        <w:rPr>
          <w:rFonts w:hint="eastAsia" w:ascii="Times New Roman" w:hAnsi="Times New Roman" w:eastAsia="宋体" w:cs="Times New Roman"/>
          <w:color w:val="auto"/>
          <w:highlight w:val="none"/>
          <w:lang w:eastAsia="zh-CN"/>
        </w:rPr>
        <w:t>见表2.3.2</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1</w:t>
      </w:r>
      <w:r>
        <w:rPr>
          <w:rFonts w:hint="eastAsia" w:cs="Times New Roman"/>
          <w:color w:val="auto"/>
          <w:highlight w:val="none"/>
          <w:lang w:eastAsia="zh-CN"/>
        </w:rPr>
        <w:t>，</w:t>
      </w:r>
      <w:r>
        <w:rPr>
          <w:rFonts w:hint="eastAsia" w:cs="Times New Roman"/>
          <w:color w:val="auto"/>
          <w:highlight w:val="none"/>
          <w:lang w:val="en-US" w:eastAsia="zh-CN"/>
        </w:rPr>
        <w:t>评价因子</w:t>
      </w:r>
      <w:r>
        <w:rPr>
          <w:rFonts w:hint="eastAsia" w:ascii="Times New Roman" w:hAnsi="Times New Roman" w:eastAsia="宋体" w:cs="Times New Roman"/>
          <w:color w:val="auto"/>
          <w:highlight w:val="none"/>
          <w:lang w:val="en-US" w:eastAsia="zh-CN"/>
        </w:rPr>
        <w:t>见表2.3.2-2</w:t>
      </w:r>
      <w:r>
        <w:rPr>
          <w:rFonts w:hint="eastAsia" w:ascii="Times New Roman" w:hAnsi="Times New Roman" w:eastAsia="宋体" w:cs="Times New Roman"/>
          <w:color w:val="auto"/>
          <w:highlight w:val="none"/>
          <w:lang w:eastAsia="zh-CN"/>
        </w:rPr>
        <w:t>。</w:t>
      </w:r>
    </w:p>
    <w:p>
      <w:pPr>
        <w:bidi w:val="0"/>
        <w:ind w:firstLine="883"/>
        <w:rPr>
          <w:rFonts w:hint="eastAsia" w:ascii="Times New Roman" w:hAnsi="Times New Roman" w:eastAsia="宋体" w:cs="Times New Roman"/>
          <w:color w:val="auto"/>
          <w:highlight w:val="none"/>
          <w:lang w:eastAsia="zh-CN"/>
        </w:rPr>
      </w:pPr>
      <w:bookmarkStart w:id="97" w:name="_bookmark24"/>
      <w:bookmarkEnd w:id="97"/>
      <w:bookmarkStart w:id="98" w:name="_bookmark24"/>
      <w:bookmarkEnd w:id="98"/>
      <w:r>
        <w:rPr>
          <w:rFonts w:hint="eastAsia" w:ascii="Times New Roman" w:hAnsi="Times New Roman" w:eastAsia="宋体" w:cs="Times New Roman"/>
          <w:color w:val="auto"/>
          <w:highlight w:val="none"/>
          <w:lang w:eastAsia="zh-CN"/>
        </w:rPr>
        <w:t>表</w:t>
      </w:r>
      <w:r>
        <w:rPr>
          <w:rFonts w:hint="eastAsia" w:ascii="Times New Roman" w:hAnsi="Times New Roman" w:eastAsia="宋体" w:cs="Times New Roman"/>
          <w:color w:val="auto"/>
          <w:highlight w:val="none"/>
          <w:lang w:val="en-US" w:eastAsia="zh-CN"/>
        </w:rPr>
        <w:t>2.3.2-1</w:t>
      </w:r>
      <w:r>
        <w:rPr>
          <w:rFonts w:hint="eastAsia" w:ascii="Times New Roman" w:hAnsi="Times New Roman" w:eastAsia="宋体" w:cs="Times New Roman"/>
          <w:color w:val="auto"/>
          <w:highlight w:val="none"/>
          <w:lang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环境影响识别结果</w:t>
      </w:r>
    </w:p>
    <w:tbl>
      <w:tblPr>
        <w:tblStyle w:val="23"/>
        <w:tblW w:w="9399" w:type="dxa"/>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2184"/>
        <w:gridCol w:w="1535"/>
        <w:gridCol w:w="2245"/>
        <w:gridCol w:w="2301"/>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13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环境要素</w:t>
            </w:r>
          </w:p>
        </w:tc>
        <w:tc>
          <w:tcPr>
            <w:tcW w:w="3719"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施工期</w:t>
            </w:r>
          </w:p>
        </w:tc>
        <w:tc>
          <w:tcPr>
            <w:tcW w:w="454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运营期</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13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18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产生影响的主要内容</w:t>
            </w:r>
          </w:p>
        </w:tc>
        <w:tc>
          <w:tcPr>
            <w:tcW w:w="153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主要影响因素</w:t>
            </w:r>
          </w:p>
        </w:tc>
        <w:tc>
          <w:tcPr>
            <w:tcW w:w="224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产生影响的主要内容</w:t>
            </w:r>
          </w:p>
        </w:tc>
        <w:tc>
          <w:tcPr>
            <w:tcW w:w="2301"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主要影响因素</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13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环境空气</w:t>
            </w:r>
          </w:p>
        </w:tc>
        <w:tc>
          <w:tcPr>
            <w:tcW w:w="218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扬尘</w:t>
            </w:r>
          </w:p>
        </w:tc>
        <w:tc>
          <w:tcPr>
            <w:tcW w:w="153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TSP</w:t>
            </w:r>
          </w:p>
        </w:tc>
        <w:tc>
          <w:tcPr>
            <w:tcW w:w="224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污水处理站恶臭气体、</w:t>
            </w:r>
            <w:r>
              <w:rPr>
                <w:rFonts w:hint="eastAsia" w:ascii="Times New Roman" w:hAnsi="Times New Roman" w:eastAsia="宋体" w:cs="Times New Roman"/>
                <w:caps w:val="0"/>
                <w:smallCaps w:val="0"/>
                <w:color w:val="auto"/>
                <w:spacing w:val="0"/>
                <w:w w:val="100"/>
                <w:position w:val="0"/>
                <w:sz w:val="21"/>
                <w:szCs w:val="21"/>
                <w:highlight w:val="none"/>
                <w:lang w:eastAsia="zh-CN"/>
              </w:rPr>
              <w:t>生物质</w:t>
            </w:r>
            <w:r>
              <w:rPr>
                <w:rFonts w:ascii="Times New Roman" w:hAnsi="Times New Roman" w:eastAsia="宋体" w:cs="Times New Roman"/>
                <w:caps w:val="0"/>
                <w:smallCaps w:val="0"/>
                <w:color w:val="auto"/>
                <w:spacing w:val="0"/>
                <w:w w:val="100"/>
                <w:position w:val="0"/>
                <w:sz w:val="21"/>
                <w:szCs w:val="21"/>
                <w:highlight w:val="none"/>
              </w:rPr>
              <w:t>锅炉烟气</w:t>
            </w:r>
          </w:p>
        </w:tc>
        <w:tc>
          <w:tcPr>
            <w:tcW w:w="2301"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x</w:t>
            </w:r>
            <w:r>
              <w:rPr>
                <w:rFonts w:ascii="Times New Roman" w:hAnsi="Times New Roman" w:eastAsia="宋体" w:cs="Times New Roman"/>
                <w:caps w:val="0"/>
                <w:smallCaps w:val="0"/>
                <w:color w:val="auto"/>
                <w:spacing w:val="0"/>
                <w:w w:val="100"/>
                <w:position w:val="0"/>
                <w:sz w:val="21"/>
                <w:szCs w:val="21"/>
                <w:highlight w:val="none"/>
              </w:rPr>
              <w:t>、颗粒物；NH</w:t>
            </w:r>
            <w:r>
              <w:rPr>
                <w:rFonts w:ascii="Times New Roman" w:hAnsi="Times New Roman" w:eastAsia="宋体" w:cs="Times New Roman"/>
                <w:caps w:val="0"/>
                <w:smallCaps w:val="0"/>
                <w:color w:val="auto"/>
                <w:spacing w:val="0"/>
                <w:w w:val="100"/>
                <w:position w:val="0"/>
                <w:sz w:val="21"/>
                <w:szCs w:val="21"/>
                <w:highlight w:val="none"/>
                <w:vertAlign w:val="subscript"/>
              </w:rPr>
              <w:t>3</w:t>
            </w: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S、臭气浓度</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13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水环境</w:t>
            </w:r>
          </w:p>
        </w:tc>
        <w:tc>
          <w:tcPr>
            <w:tcW w:w="218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施工废水、施工人员生活污水</w:t>
            </w:r>
          </w:p>
        </w:tc>
        <w:tc>
          <w:tcPr>
            <w:tcW w:w="153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COD、BOD</w:t>
            </w:r>
            <w:r>
              <w:rPr>
                <w:rFonts w:ascii="Times New Roman" w:hAnsi="Times New Roman" w:eastAsia="宋体" w:cs="Times New Roman"/>
                <w:caps w:val="0"/>
                <w:smallCaps w:val="0"/>
                <w:color w:val="auto"/>
                <w:spacing w:val="0"/>
                <w:w w:val="100"/>
                <w:position w:val="0"/>
                <w:sz w:val="21"/>
                <w:szCs w:val="21"/>
                <w:highlight w:val="none"/>
                <w:vertAlign w:val="subscript"/>
              </w:rPr>
              <w:t>5</w:t>
            </w:r>
            <w:r>
              <w:rPr>
                <w:rFonts w:ascii="Times New Roman" w:hAnsi="Times New Roman" w:eastAsia="宋体" w:cs="Times New Roman"/>
                <w:caps w:val="0"/>
                <w:smallCaps w:val="0"/>
                <w:color w:val="auto"/>
                <w:spacing w:val="0"/>
                <w:w w:val="100"/>
                <w:position w:val="0"/>
                <w:sz w:val="21"/>
                <w:szCs w:val="21"/>
                <w:highlight w:val="none"/>
              </w:rPr>
              <w:t>、SS、</w:t>
            </w:r>
            <w:r>
              <w:rPr>
                <w:rFonts w:hint="eastAsia" w:ascii="Times New Roman" w:hAnsi="Times New Roman" w:eastAsia="宋体" w:cs="Times New Roman"/>
                <w:caps w:val="0"/>
                <w:smallCaps w:val="0"/>
                <w:color w:val="auto"/>
                <w:spacing w:val="0"/>
                <w:w w:val="100"/>
                <w:position w:val="0"/>
                <w:sz w:val="21"/>
                <w:szCs w:val="21"/>
                <w:highlight w:val="none"/>
              </w:rPr>
              <w:t>氨氮</w:t>
            </w:r>
          </w:p>
        </w:tc>
        <w:tc>
          <w:tcPr>
            <w:tcW w:w="224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员工生活污水</w:t>
            </w:r>
          </w:p>
        </w:tc>
        <w:tc>
          <w:tcPr>
            <w:tcW w:w="2301"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COD、BOD</w:t>
            </w:r>
            <w:r>
              <w:rPr>
                <w:rFonts w:ascii="Times New Roman" w:hAnsi="Times New Roman" w:eastAsia="宋体" w:cs="Times New Roman"/>
                <w:caps w:val="0"/>
                <w:smallCaps w:val="0"/>
                <w:color w:val="auto"/>
                <w:spacing w:val="0"/>
                <w:w w:val="100"/>
                <w:position w:val="0"/>
                <w:sz w:val="21"/>
                <w:szCs w:val="21"/>
                <w:highlight w:val="none"/>
                <w:vertAlign w:val="subscript"/>
              </w:rPr>
              <w:t>5</w:t>
            </w:r>
            <w:r>
              <w:rPr>
                <w:rFonts w:ascii="Times New Roman" w:hAnsi="Times New Roman" w:eastAsia="宋体" w:cs="Times New Roman"/>
                <w:caps w:val="0"/>
                <w:smallCaps w:val="0"/>
                <w:color w:val="auto"/>
                <w:spacing w:val="0"/>
                <w:w w:val="100"/>
                <w:position w:val="0"/>
                <w:sz w:val="21"/>
                <w:szCs w:val="21"/>
                <w:highlight w:val="none"/>
              </w:rPr>
              <w:t>、SS、</w:t>
            </w:r>
            <w:r>
              <w:rPr>
                <w:rFonts w:hint="eastAsia" w:ascii="Times New Roman" w:hAnsi="Times New Roman" w:eastAsia="宋体" w:cs="Times New Roman"/>
                <w:caps w:val="0"/>
                <w:smallCaps w:val="0"/>
                <w:color w:val="auto"/>
                <w:spacing w:val="0"/>
                <w:w w:val="100"/>
                <w:position w:val="0"/>
                <w:sz w:val="21"/>
                <w:szCs w:val="21"/>
                <w:highlight w:val="none"/>
              </w:rPr>
              <w:t>氨氮</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13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声环境</w:t>
            </w:r>
          </w:p>
        </w:tc>
        <w:tc>
          <w:tcPr>
            <w:tcW w:w="218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设备运输及安装</w:t>
            </w:r>
            <w:r>
              <w:rPr>
                <w:rFonts w:hint="eastAsia" w:ascii="Times New Roman" w:hAnsi="Times New Roman" w:eastAsia="宋体" w:cs="Times New Roman"/>
                <w:caps w:val="0"/>
                <w:smallCaps w:val="0"/>
                <w:color w:val="auto"/>
                <w:spacing w:val="0"/>
                <w:w w:val="100"/>
                <w:position w:val="0"/>
                <w:sz w:val="21"/>
                <w:szCs w:val="21"/>
                <w:highlight w:val="none"/>
              </w:rPr>
              <w:t>等</w:t>
            </w:r>
          </w:p>
        </w:tc>
        <w:tc>
          <w:tcPr>
            <w:tcW w:w="153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施工</w:t>
            </w:r>
            <w:r>
              <w:rPr>
                <w:rFonts w:hint="eastAsia" w:ascii="Times New Roman" w:hAnsi="Times New Roman" w:eastAsia="宋体" w:cs="Times New Roman"/>
                <w:caps w:val="0"/>
                <w:smallCaps w:val="0"/>
                <w:color w:val="auto"/>
                <w:spacing w:val="0"/>
                <w:w w:val="100"/>
                <w:position w:val="0"/>
                <w:sz w:val="21"/>
                <w:szCs w:val="21"/>
                <w:highlight w:val="none"/>
              </w:rPr>
              <w:t>噪声</w:t>
            </w:r>
          </w:p>
        </w:tc>
        <w:tc>
          <w:tcPr>
            <w:tcW w:w="224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碎浆机、磨浆机、锅炉风机</w:t>
            </w:r>
            <w:r>
              <w:rPr>
                <w:rFonts w:ascii="Times New Roman" w:hAnsi="Times New Roman" w:eastAsia="宋体" w:cs="Times New Roman"/>
                <w:caps w:val="0"/>
                <w:smallCaps w:val="0"/>
                <w:color w:val="auto"/>
                <w:spacing w:val="0"/>
                <w:w w:val="100"/>
                <w:position w:val="0"/>
                <w:sz w:val="21"/>
                <w:szCs w:val="21"/>
                <w:highlight w:val="none"/>
              </w:rPr>
              <w:t>等</w:t>
            </w:r>
            <w:r>
              <w:rPr>
                <w:rFonts w:hint="eastAsia" w:ascii="Times New Roman" w:hAnsi="Times New Roman" w:eastAsia="宋体" w:cs="Times New Roman"/>
                <w:caps w:val="0"/>
                <w:smallCaps w:val="0"/>
                <w:color w:val="auto"/>
                <w:spacing w:val="0"/>
                <w:w w:val="100"/>
                <w:position w:val="0"/>
                <w:sz w:val="21"/>
                <w:szCs w:val="21"/>
                <w:highlight w:val="none"/>
              </w:rPr>
              <w:t>设备</w:t>
            </w:r>
            <w:r>
              <w:rPr>
                <w:rFonts w:ascii="Times New Roman" w:hAnsi="Times New Roman" w:eastAsia="宋体" w:cs="Times New Roman"/>
                <w:caps w:val="0"/>
                <w:smallCaps w:val="0"/>
                <w:color w:val="auto"/>
                <w:spacing w:val="0"/>
                <w:w w:val="100"/>
                <w:position w:val="0"/>
                <w:sz w:val="21"/>
                <w:szCs w:val="21"/>
                <w:highlight w:val="none"/>
              </w:rPr>
              <w:t>运行噪声</w:t>
            </w:r>
          </w:p>
        </w:tc>
        <w:tc>
          <w:tcPr>
            <w:tcW w:w="2301"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设备噪声</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3" w:hRule="atLeast"/>
          <w:jc w:val="center"/>
        </w:trPr>
        <w:tc>
          <w:tcPr>
            <w:tcW w:w="113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固体废物</w:t>
            </w:r>
          </w:p>
        </w:tc>
        <w:tc>
          <w:tcPr>
            <w:tcW w:w="2184"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建筑垃圾、生活垃圾</w:t>
            </w:r>
          </w:p>
        </w:tc>
        <w:tc>
          <w:tcPr>
            <w:tcW w:w="153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建筑垃圾、生活垃圾</w:t>
            </w:r>
          </w:p>
        </w:tc>
        <w:tc>
          <w:tcPr>
            <w:tcW w:w="2245"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rPr>
              <w:t>生活垃圾、</w:t>
            </w:r>
            <w:r>
              <w:rPr>
                <w:rFonts w:hint="eastAsia" w:ascii="Times New Roman" w:cs="Times New Roman"/>
                <w:caps w:val="0"/>
                <w:smallCaps w:val="0"/>
                <w:color w:val="auto"/>
                <w:spacing w:val="0"/>
                <w:w w:val="100"/>
                <w:position w:val="0"/>
                <w:sz w:val="21"/>
                <w:szCs w:val="21"/>
                <w:highlight w:val="none"/>
                <w:lang w:eastAsia="zh-CN"/>
              </w:rPr>
              <w:t>杂质</w:t>
            </w:r>
            <w:r>
              <w:rPr>
                <w:rFonts w:hint="eastAsia" w:cs="Times New Roman"/>
                <w:caps w:val="0"/>
                <w:smallCaps w:val="0"/>
                <w:color w:val="auto"/>
                <w:spacing w:val="0"/>
                <w:w w:val="100"/>
                <w:position w:val="0"/>
                <w:sz w:val="21"/>
                <w:szCs w:val="21"/>
                <w:highlight w:val="none"/>
                <w:lang w:eastAsia="zh-CN"/>
              </w:rPr>
              <w:t>（砂、土、纤维）</w:t>
            </w:r>
            <w:r>
              <w:rPr>
                <w:rFonts w:hint="eastAsia" w:ascii="Times New Roman" w:hAnsi="Times New Roman" w:eastAsia="宋体" w:cs="Times New Roman"/>
                <w:caps w:val="0"/>
                <w:smallCaps w:val="0"/>
                <w:color w:val="auto"/>
                <w:spacing w:val="0"/>
                <w:w w:val="100"/>
                <w:position w:val="0"/>
                <w:sz w:val="21"/>
                <w:szCs w:val="21"/>
                <w:highlight w:val="none"/>
              </w:rPr>
              <w:t>、污水处理站产生的污泥、锅炉炉渣和捕集到的飞灰、废离子交换树脂、</w:t>
            </w:r>
            <w:r>
              <w:rPr>
                <w:rFonts w:hint="eastAsia" w:cs="Times New Roman"/>
                <w:caps w:val="0"/>
                <w:smallCaps w:val="0"/>
                <w:color w:val="auto"/>
                <w:spacing w:val="0"/>
                <w:w w:val="100"/>
                <w:position w:val="0"/>
                <w:sz w:val="21"/>
                <w:szCs w:val="21"/>
                <w:highlight w:val="none"/>
                <w:lang w:val="en-US" w:eastAsia="zh-CN"/>
              </w:rPr>
              <w:t>废活性炭</w:t>
            </w:r>
            <w:r>
              <w:rPr>
                <w:rFonts w:hint="eastAsia"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废</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润滑油</w:t>
            </w:r>
          </w:p>
        </w:tc>
        <w:tc>
          <w:tcPr>
            <w:tcW w:w="2301" w:type="dxa"/>
            <w:vAlign w:val="center"/>
          </w:tcPr>
          <w:p>
            <w:pPr>
              <w:keepNext w:val="0"/>
              <w:keepLines w:val="0"/>
              <w:pageBreakBefore w:val="0"/>
              <w:widowControl w:val="0"/>
              <w:kinsoku/>
              <w:wordWrap/>
              <w:overflowPunct/>
              <w:topLinePunct w:val="0"/>
              <w:autoSpaceDE/>
              <w:autoSpaceDN/>
              <w:bidi w:val="0"/>
              <w:adjustRightInd/>
              <w:snapToGrid/>
              <w:spacing w:line="360" w:lineRule="atLeas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rPr>
              <w:t>生活垃圾、</w:t>
            </w:r>
            <w:r>
              <w:rPr>
                <w:rFonts w:hint="eastAsia" w:ascii="Times New Roman" w:cs="Times New Roman"/>
                <w:caps w:val="0"/>
                <w:smallCaps w:val="0"/>
                <w:color w:val="auto"/>
                <w:spacing w:val="0"/>
                <w:w w:val="100"/>
                <w:position w:val="0"/>
                <w:sz w:val="21"/>
                <w:szCs w:val="21"/>
                <w:highlight w:val="none"/>
                <w:lang w:eastAsia="zh-CN"/>
              </w:rPr>
              <w:t>杂质</w:t>
            </w:r>
            <w:r>
              <w:rPr>
                <w:rFonts w:hint="eastAsia" w:cs="Times New Roman"/>
                <w:caps w:val="0"/>
                <w:smallCaps w:val="0"/>
                <w:color w:val="auto"/>
                <w:spacing w:val="0"/>
                <w:w w:val="100"/>
                <w:position w:val="0"/>
                <w:sz w:val="21"/>
                <w:szCs w:val="21"/>
                <w:highlight w:val="none"/>
                <w:lang w:eastAsia="zh-CN"/>
              </w:rPr>
              <w:t>（砂、土、纤维）</w:t>
            </w:r>
            <w:r>
              <w:rPr>
                <w:rFonts w:hint="eastAsia" w:ascii="Times New Roman" w:hAnsi="Times New Roman" w:eastAsia="宋体" w:cs="Times New Roman"/>
                <w:caps w:val="0"/>
                <w:smallCaps w:val="0"/>
                <w:color w:val="auto"/>
                <w:spacing w:val="0"/>
                <w:w w:val="100"/>
                <w:position w:val="0"/>
                <w:sz w:val="21"/>
                <w:szCs w:val="21"/>
                <w:highlight w:val="none"/>
              </w:rPr>
              <w:t>、污水处理站产生的污泥、锅炉炉渣和捕集到的飞灰、废离子交换树脂、</w:t>
            </w:r>
            <w:r>
              <w:rPr>
                <w:rFonts w:hint="eastAsia" w:cs="Times New Roman"/>
                <w:caps w:val="0"/>
                <w:smallCaps w:val="0"/>
                <w:color w:val="auto"/>
                <w:spacing w:val="0"/>
                <w:w w:val="100"/>
                <w:position w:val="0"/>
                <w:sz w:val="21"/>
                <w:szCs w:val="21"/>
                <w:highlight w:val="none"/>
                <w:lang w:val="en-US" w:eastAsia="zh-CN"/>
              </w:rPr>
              <w:t>废活性炭、</w:t>
            </w:r>
            <w:r>
              <w:rPr>
                <w:rFonts w:hint="eastAsia" w:ascii="Times New Roman" w:hAnsi="Times New Roman" w:eastAsia="宋体" w:cs="Times New Roman"/>
                <w:caps w:val="0"/>
                <w:smallCaps w:val="0"/>
                <w:color w:val="auto"/>
                <w:spacing w:val="0"/>
                <w:w w:val="100"/>
                <w:position w:val="0"/>
                <w:sz w:val="21"/>
                <w:szCs w:val="21"/>
                <w:highlight w:val="none"/>
              </w:rPr>
              <w:t>废</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润滑油</w:t>
            </w:r>
          </w:p>
        </w:tc>
      </w:tr>
    </w:tbl>
    <w:p>
      <w:pPr>
        <w:bidi w:val="0"/>
        <w:ind w:firstLine="883"/>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表2.3</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评价因子</w:t>
      </w:r>
    </w:p>
    <w:tbl>
      <w:tblPr>
        <w:tblStyle w:val="23"/>
        <w:tblW w:w="929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5323"/>
        <w:gridCol w:w="23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环境要素类别</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现状评价</w:t>
            </w:r>
            <w:r>
              <w:rPr>
                <w:rFonts w:hint="eastAsia" w:ascii="Times New Roman" w:cs="Times New Roman"/>
                <w:caps w:val="0"/>
                <w:smallCaps w:val="0"/>
                <w:color w:val="auto"/>
                <w:spacing w:val="0"/>
                <w:w w:val="100"/>
                <w:position w:val="0"/>
                <w:sz w:val="21"/>
                <w:szCs w:val="21"/>
                <w:highlight w:val="none"/>
                <w:lang w:eastAsia="zh-CN"/>
              </w:rPr>
              <w:t>（</w:t>
            </w:r>
            <w:r>
              <w:rPr>
                <w:rFonts w:hint="eastAsia" w:ascii="Times New Roman" w:cs="Times New Roman"/>
                <w:caps w:val="0"/>
                <w:smallCaps w:val="0"/>
                <w:color w:val="auto"/>
                <w:spacing w:val="0"/>
                <w:w w:val="100"/>
                <w:position w:val="0"/>
                <w:sz w:val="21"/>
                <w:szCs w:val="21"/>
                <w:highlight w:val="none"/>
                <w:lang w:val="en-US" w:eastAsia="zh-CN"/>
              </w:rPr>
              <w:t>调查</w:t>
            </w:r>
            <w:r>
              <w:rPr>
                <w:rFonts w:hint="eastAsia" w:ascii="Times New Roman"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因子</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影响</w:t>
            </w:r>
            <w:r>
              <w:rPr>
                <w:rFonts w:hint="eastAsia" w:ascii="Times New Roman" w:cs="Times New Roman"/>
                <w:caps w:val="0"/>
                <w:smallCaps w:val="0"/>
                <w:color w:val="auto"/>
                <w:spacing w:val="0"/>
                <w:w w:val="100"/>
                <w:position w:val="0"/>
                <w:sz w:val="21"/>
                <w:szCs w:val="21"/>
                <w:highlight w:val="none"/>
                <w:lang w:val="en-US" w:eastAsia="zh-CN"/>
              </w:rPr>
              <w:t>预测</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cs="Times New Roman"/>
                <w:caps w:val="0"/>
                <w:smallCaps w:val="0"/>
                <w:color w:val="auto"/>
                <w:spacing w:val="0"/>
                <w:w w:val="100"/>
                <w:position w:val="0"/>
                <w:sz w:val="21"/>
                <w:szCs w:val="21"/>
                <w:highlight w:val="none"/>
                <w:lang w:val="en-US" w:eastAsia="zh-CN"/>
              </w:rPr>
              <w:t>分析</w:t>
            </w:r>
            <w:r>
              <w:rPr>
                <w:rFonts w:ascii="Times New Roman" w:hAnsi="Times New Roman" w:eastAsia="宋体" w:cs="Times New Roman"/>
                <w:caps w:val="0"/>
                <w:smallCaps w:val="0"/>
                <w:color w:val="auto"/>
                <w:spacing w:val="0"/>
                <w:w w:val="100"/>
                <w:position w:val="0"/>
                <w:sz w:val="21"/>
                <w:szCs w:val="21"/>
                <w:highlight w:val="none"/>
              </w:rPr>
              <w:t>）因子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环境空气</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、PM</w:t>
            </w:r>
            <w:r>
              <w:rPr>
                <w:rFonts w:ascii="Times New Roman" w:hAnsi="Times New Roman" w:eastAsia="宋体" w:cs="Times New Roman"/>
                <w:caps w:val="0"/>
                <w:smallCaps w:val="0"/>
                <w:color w:val="auto"/>
                <w:spacing w:val="0"/>
                <w:w w:val="100"/>
                <w:position w:val="0"/>
                <w:sz w:val="21"/>
                <w:szCs w:val="21"/>
                <w:highlight w:val="none"/>
                <w:vertAlign w:val="subscript"/>
              </w:rPr>
              <w:t>10</w:t>
            </w:r>
            <w:r>
              <w:rPr>
                <w:rFonts w:ascii="Times New Roman" w:hAnsi="Times New Roman" w:eastAsia="宋体" w:cs="Times New Roman"/>
                <w:caps w:val="0"/>
                <w:smallCaps w:val="0"/>
                <w:color w:val="auto"/>
                <w:spacing w:val="0"/>
                <w:w w:val="100"/>
                <w:position w:val="0"/>
                <w:sz w:val="21"/>
                <w:szCs w:val="21"/>
                <w:highlight w:val="none"/>
              </w:rPr>
              <w:t>、PM</w:t>
            </w:r>
            <w:r>
              <w:rPr>
                <w:rFonts w:ascii="Times New Roman" w:hAnsi="Times New Roman" w:eastAsia="宋体" w:cs="Times New Roman"/>
                <w:caps w:val="0"/>
                <w:smallCaps w:val="0"/>
                <w:color w:val="auto"/>
                <w:spacing w:val="0"/>
                <w:w w:val="100"/>
                <w:position w:val="0"/>
                <w:sz w:val="21"/>
                <w:szCs w:val="21"/>
                <w:highlight w:val="none"/>
                <w:vertAlign w:val="subscript"/>
              </w:rPr>
              <w:t>2.5</w:t>
            </w:r>
            <w:r>
              <w:rPr>
                <w:rFonts w:hint="eastAsia" w:ascii="Times New Roman" w:hAnsi="Times New Roman" w:eastAsia="宋体" w:cs="Times New Roman"/>
                <w:caps w:val="0"/>
                <w:smallCaps w:val="0"/>
                <w:color w:val="auto"/>
                <w:spacing w:val="0"/>
                <w:w w:val="100"/>
                <w:position w:val="0"/>
                <w:sz w:val="21"/>
                <w:szCs w:val="21"/>
                <w:highlight w:val="none"/>
              </w:rPr>
              <w:t>、TSP、NH</w:t>
            </w:r>
            <w:r>
              <w:rPr>
                <w:rFonts w:hint="eastAsia" w:ascii="Times New Roman" w:hAnsi="Times New Roman" w:eastAsia="宋体" w:cs="Times New Roman"/>
                <w:caps w:val="0"/>
                <w:smallCaps w:val="0"/>
                <w:color w:val="auto"/>
                <w:spacing w:val="0"/>
                <w:w w:val="100"/>
                <w:position w:val="0"/>
                <w:sz w:val="21"/>
                <w:szCs w:val="21"/>
                <w:highlight w:val="none"/>
                <w:vertAlign w:val="subscript"/>
              </w:rPr>
              <w:t>3</w:t>
            </w:r>
            <w:r>
              <w:rPr>
                <w:rFonts w:hint="eastAsia"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hint="eastAsia" w:ascii="Times New Roman" w:hAnsi="Times New Roman" w:eastAsia="宋体" w:cs="Times New Roman"/>
                <w:caps w:val="0"/>
                <w:smallCaps w:val="0"/>
                <w:color w:val="auto"/>
                <w:spacing w:val="0"/>
                <w:w w:val="100"/>
                <w:position w:val="0"/>
                <w:sz w:val="21"/>
                <w:szCs w:val="21"/>
                <w:highlight w:val="none"/>
              </w:rPr>
              <w:t>S</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、PM</w:t>
            </w:r>
            <w:r>
              <w:rPr>
                <w:rFonts w:ascii="Times New Roman" w:hAnsi="Times New Roman" w:eastAsia="宋体" w:cs="Times New Roman"/>
                <w:caps w:val="0"/>
                <w:smallCaps w:val="0"/>
                <w:color w:val="auto"/>
                <w:spacing w:val="0"/>
                <w:w w:val="100"/>
                <w:position w:val="0"/>
                <w:sz w:val="21"/>
                <w:szCs w:val="21"/>
                <w:highlight w:val="none"/>
                <w:vertAlign w:val="subscript"/>
              </w:rPr>
              <w:t>10</w:t>
            </w:r>
            <w:r>
              <w:rPr>
                <w:rFonts w:hint="eastAsia" w:ascii="Times New Roman" w:hAnsi="Times New Roman" w:eastAsia="宋体" w:cs="Times New Roman"/>
                <w:caps w:val="0"/>
                <w:smallCaps w:val="0"/>
                <w:color w:val="auto"/>
                <w:spacing w:val="0"/>
                <w:w w:val="100"/>
                <w:position w:val="0"/>
                <w:sz w:val="21"/>
                <w:szCs w:val="21"/>
                <w:highlight w:val="none"/>
              </w:rPr>
              <w:t>、NH</w:t>
            </w:r>
            <w:r>
              <w:rPr>
                <w:rFonts w:hint="eastAsia" w:ascii="Times New Roman" w:hAnsi="Times New Roman" w:eastAsia="宋体" w:cs="Times New Roman"/>
                <w:caps w:val="0"/>
                <w:smallCaps w:val="0"/>
                <w:color w:val="auto"/>
                <w:spacing w:val="0"/>
                <w:w w:val="100"/>
                <w:position w:val="0"/>
                <w:sz w:val="21"/>
                <w:szCs w:val="21"/>
                <w:highlight w:val="none"/>
                <w:vertAlign w:val="subscript"/>
              </w:rPr>
              <w:t>3</w:t>
            </w:r>
            <w:r>
              <w:rPr>
                <w:rFonts w:hint="eastAsia"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hint="eastAsia" w:ascii="Times New Roman" w:hAnsi="Times New Roman" w:eastAsia="宋体" w:cs="Times New Roman"/>
                <w:caps w:val="0"/>
                <w:smallCaps w:val="0"/>
                <w:color w:val="auto"/>
                <w:spacing w:val="0"/>
                <w:w w:val="100"/>
                <w:position w:val="0"/>
                <w:sz w:val="21"/>
                <w:szCs w:val="21"/>
                <w:highlight w:val="none"/>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619" w:type="dxa"/>
            <w:tcBorders>
              <w:bottom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地表水</w:t>
            </w:r>
          </w:p>
        </w:tc>
        <w:tc>
          <w:tcPr>
            <w:tcW w:w="5323" w:type="dxa"/>
            <w:tcBorders>
              <w:bottom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vertAlign w:val="subscript"/>
              </w:rPr>
            </w:pPr>
            <w:r>
              <w:rPr>
                <w:rFonts w:ascii="Times New Roman" w:hAnsi="Times New Roman" w:eastAsia="宋体" w:cs="Times New Roman"/>
                <w:iCs/>
                <w:caps w:val="0"/>
                <w:smallCaps w:val="0"/>
                <w:color w:val="auto"/>
                <w:spacing w:val="0"/>
                <w:w w:val="100"/>
                <w:position w:val="0"/>
                <w:sz w:val="21"/>
                <w:szCs w:val="21"/>
                <w:highlight w:val="none"/>
              </w:rPr>
              <w:t>pH、COD、硫化物、石油类、氨氮、挥发酚</w:t>
            </w:r>
          </w:p>
        </w:tc>
        <w:tc>
          <w:tcPr>
            <w:tcW w:w="2357" w:type="dxa"/>
            <w:tcBorders>
              <w:bottom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iCs/>
                <w:caps w:val="0"/>
                <w:smallCaps w:val="0"/>
                <w:color w:val="auto"/>
                <w:spacing w:val="0"/>
                <w:w w:val="100"/>
                <w:position w:val="0"/>
                <w:sz w:val="21"/>
                <w:szCs w:val="21"/>
                <w:highlight w:val="none"/>
              </w:rPr>
              <w:t>pH、COD、硫化物、石油类、氨氮、挥发酚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4" w:hRule="atLeast"/>
        </w:trPr>
        <w:tc>
          <w:tcPr>
            <w:tcW w:w="1619" w:type="dxa"/>
            <w:tcBorders>
              <w:top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地下水环境</w:t>
            </w:r>
          </w:p>
        </w:tc>
        <w:tc>
          <w:tcPr>
            <w:tcW w:w="5323" w:type="dxa"/>
            <w:tcBorders>
              <w:top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pH值、氨氮、硝酸盐、亚硝酸盐、挥发酚、氰化物、砷、汞、铬</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六价）、总硬度、铅、氟化物、镉、铁、锰、溶解性总固体、高锰酸盐指数、总大肠菌群、细菌总数和K</w:t>
            </w:r>
            <w:r>
              <w:rPr>
                <w:rFonts w:ascii="Times New Roman" w:hAnsi="Times New Roman" w:eastAsia="宋体" w:cs="Times New Roman"/>
                <w:caps w:val="0"/>
                <w:smallCaps w:val="0"/>
                <w:color w:val="auto"/>
                <w:spacing w:val="0"/>
                <w:w w:val="100"/>
                <w:position w:val="0"/>
                <w:sz w:val="21"/>
                <w:szCs w:val="21"/>
                <w:highlight w:val="none"/>
                <w:vertAlign w:val="superscript"/>
              </w:rPr>
              <w:t>+</w:t>
            </w:r>
            <w:r>
              <w:rPr>
                <w:rFonts w:ascii="Times New Roman" w:hAnsi="Times New Roman" w:eastAsia="宋体" w:cs="Times New Roman"/>
                <w:caps w:val="0"/>
                <w:smallCaps w:val="0"/>
                <w:color w:val="auto"/>
                <w:spacing w:val="0"/>
                <w:w w:val="100"/>
                <w:position w:val="0"/>
                <w:sz w:val="21"/>
                <w:szCs w:val="21"/>
                <w:highlight w:val="none"/>
              </w:rPr>
              <w:t>，Na</w:t>
            </w:r>
            <w:r>
              <w:rPr>
                <w:rFonts w:ascii="Times New Roman" w:hAnsi="Times New Roman" w:eastAsia="宋体" w:cs="Times New Roman"/>
                <w:caps w:val="0"/>
                <w:smallCaps w:val="0"/>
                <w:color w:val="auto"/>
                <w:spacing w:val="0"/>
                <w:w w:val="100"/>
                <w:position w:val="0"/>
                <w:sz w:val="21"/>
                <w:szCs w:val="21"/>
                <w:highlight w:val="none"/>
                <w:vertAlign w:val="superscript"/>
              </w:rPr>
              <w:t>+</w:t>
            </w:r>
            <w:r>
              <w:rPr>
                <w:rFonts w:ascii="Times New Roman" w:hAnsi="Times New Roman" w:eastAsia="宋体" w:cs="Times New Roman"/>
                <w:caps w:val="0"/>
                <w:smallCaps w:val="0"/>
                <w:color w:val="auto"/>
                <w:spacing w:val="0"/>
                <w:w w:val="100"/>
                <w:position w:val="0"/>
                <w:sz w:val="21"/>
                <w:szCs w:val="21"/>
                <w:highlight w:val="none"/>
              </w:rPr>
              <w:t>，Ca</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ascii="Times New Roman" w:hAnsi="Times New Roman" w:eastAsia="宋体" w:cs="Times New Roman"/>
                <w:caps w:val="0"/>
                <w:smallCaps w:val="0"/>
                <w:color w:val="auto"/>
                <w:spacing w:val="0"/>
                <w:w w:val="100"/>
                <w:position w:val="0"/>
                <w:sz w:val="21"/>
                <w:szCs w:val="21"/>
                <w:highlight w:val="none"/>
              </w:rPr>
              <w:t>，Mg</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ascii="Times New Roman" w:hAnsi="Times New Roman" w:eastAsia="宋体" w:cs="Times New Roman"/>
                <w:caps w:val="0"/>
                <w:smallCaps w:val="0"/>
                <w:color w:val="auto"/>
                <w:spacing w:val="0"/>
                <w:w w:val="100"/>
                <w:position w:val="0"/>
                <w:sz w:val="21"/>
                <w:szCs w:val="21"/>
                <w:highlight w:val="none"/>
              </w:rPr>
              <w:t>，CO</w:t>
            </w:r>
            <w:r>
              <w:rPr>
                <w:rFonts w:ascii="Times New Roman" w:hAnsi="Times New Roman" w:eastAsia="宋体" w:cs="Times New Roman"/>
                <w:caps w:val="0"/>
                <w:smallCaps w:val="0"/>
                <w:color w:val="auto"/>
                <w:spacing w:val="0"/>
                <w:w w:val="100"/>
                <w:position w:val="0"/>
                <w:sz w:val="21"/>
                <w:szCs w:val="21"/>
                <w:highlight w:val="none"/>
                <w:vertAlign w:val="subscript"/>
              </w:rPr>
              <w:t>3</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ascii="Times New Roman" w:hAnsi="Times New Roman" w:eastAsia="宋体" w:cs="Times New Roman"/>
                <w:caps w:val="0"/>
                <w:smallCaps w:val="0"/>
                <w:color w:val="auto"/>
                <w:spacing w:val="0"/>
                <w:w w:val="100"/>
                <w:position w:val="0"/>
                <w:sz w:val="21"/>
                <w:szCs w:val="21"/>
                <w:highlight w:val="none"/>
              </w:rPr>
              <w:t>，HCO</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，Cl</w:t>
            </w:r>
            <w:r>
              <w:rPr>
                <w:rFonts w:ascii="Times New Roman" w:hAnsi="Times New Roman" w:eastAsia="宋体" w:cs="Times New Roman"/>
                <w:caps w:val="0"/>
                <w:smallCaps w:val="0"/>
                <w:color w:val="auto"/>
                <w:spacing w:val="0"/>
                <w:w w:val="100"/>
                <w:position w:val="0"/>
                <w:sz w:val="21"/>
                <w:szCs w:val="21"/>
                <w:highlight w:val="none"/>
                <w:vertAlign w:val="superscript"/>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氯化物），SO</w:t>
            </w:r>
            <w:r>
              <w:rPr>
                <w:rFonts w:ascii="Times New Roman" w:hAnsi="Times New Roman" w:eastAsia="宋体" w:cs="Times New Roman"/>
                <w:caps w:val="0"/>
                <w:smallCaps w:val="0"/>
                <w:color w:val="auto"/>
                <w:spacing w:val="0"/>
                <w:w w:val="100"/>
                <w:position w:val="0"/>
                <w:sz w:val="21"/>
                <w:szCs w:val="21"/>
                <w:highlight w:val="none"/>
                <w:vertAlign w:val="subscript"/>
              </w:rPr>
              <w:t>4</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硫酸盐）</w:t>
            </w:r>
          </w:p>
        </w:tc>
        <w:tc>
          <w:tcPr>
            <w:tcW w:w="2357" w:type="dxa"/>
            <w:tcBorders>
              <w:top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高锰酸盐指数</w:t>
            </w:r>
            <w:r>
              <w:rPr>
                <w:rFonts w:hint="eastAsia" w:ascii="Times New Roman" w:hAnsi="Times New Roman" w:eastAsia="宋体" w:cs="Times New Roman"/>
                <w:caps w:val="0"/>
                <w:smallCaps w:val="0"/>
                <w:color w:val="auto"/>
                <w:spacing w:val="0"/>
                <w:w w:val="100"/>
                <w:position w:val="0"/>
                <w:sz w:val="21"/>
                <w:szCs w:val="21"/>
                <w:highlight w:val="none"/>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声环境</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等效连续A声级</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等效连续A声级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5"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土壤</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pH、Cd、Hg、As、Pb、Cr</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六价）、Cu、Ni、苯、甲苯、乙苯、氯苯、苯乙烯、间二甲苯+对二甲苯、邻二甲苯、氯乙烯、1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2-二氯苯、1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4-二氯苯、四氯化碳、氯仿、氯甲烷、1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1-二氯乙烷、1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2-二氯乙烷、1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1-二氯乙烯、顺-1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2-二氯乙烯、反-1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2-二氯乙烯、二氯甲烷、1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2-二氯丙烷、1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2-四氯乙烷、1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2-四氯乙烷、四氯乙烯、1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1-三氯乙烷、1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2-三氯乙烷、三氯乙烯、1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3- 三氯丙烷、硝基苯、苯胺、2-氯酚、䓛、萘、苯并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a）蒽、苯并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b）荧蒽、苯并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k）荧蒽、苯并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a</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芘、茚并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1，2，3-cd）芘、二苯并</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a</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h）蒽、石油烃</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C</w:t>
            </w:r>
            <w:r>
              <w:rPr>
                <w:rFonts w:hint="default" w:ascii="Times New Roman" w:hAnsi="Times New Roman" w:eastAsia="宋体" w:cs="Times New Roman"/>
                <w:caps w:val="0"/>
                <w:smallCaps w:val="0"/>
                <w:snapToGrid w:val="0"/>
                <w:color w:val="auto"/>
                <w:spacing w:val="0"/>
                <w:w w:val="100"/>
                <w:kern w:val="0"/>
                <w:position w:val="0"/>
                <w:sz w:val="21"/>
                <w:szCs w:val="18"/>
                <w:highlight w:val="none"/>
                <w:vertAlign w:val="subscript"/>
                <w:lang w:val="en-US"/>
              </w:rPr>
              <w:t>10</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 xml:space="preserve"> -C</w:t>
            </w:r>
            <w:r>
              <w:rPr>
                <w:rFonts w:hint="default" w:ascii="Times New Roman" w:hAnsi="Times New Roman" w:eastAsia="宋体" w:cs="Times New Roman"/>
                <w:caps w:val="0"/>
                <w:smallCaps w:val="0"/>
                <w:snapToGrid w:val="0"/>
                <w:color w:val="auto"/>
                <w:spacing w:val="0"/>
                <w:w w:val="100"/>
                <w:kern w:val="0"/>
                <w:position w:val="0"/>
                <w:sz w:val="21"/>
                <w:szCs w:val="18"/>
                <w:highlight w:val="none"/>
                <w:vertAlign w:val="subscript"/>
                <w:lang w:val="en-US"/>
              </w:rPr>
              <w:t>40</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固体废物</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highlight w:val="none"/>
                <w:lang w:val="en-US" w:eastAsia="zh-CN"/>
              </w:rPr>
            </w:pPr>
            <w:r>
              <w:rPr>
                <w:rFonts w:hint="eastAsia" w:ascii="Times New Roman" w:cs="Times New Roman"/>
                <w:caps w:val="0"/>
                <w:smallCaps w:val="0"/>
                <w:snapToGrid w:val="0"/>
                <w:color w:val="auto"/>
                <w:spacing w:val="0"/>
                <w:w w:val="100"/>
                <w:kern w:val="0"/>
                <w:position w:val="0"/>
                <w:sz w:val="21"/>
                <w:highlight w:val="none"/>
                <w:lang w:val="en-US" w:eastAsia="zh-CN"/>
              </w:rPr>
              <w:t>/</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iCs/>
                <w:caps w:val="0"/>
                <w:smallCaps w:val="0"/>
                <w:color w:val="auto"/>
                <w:spacing w:val="0"/>
                <w:w w:val="100"/>
                <w:position w:val="0"/>
                <w:sz w:val="21"/>
                <w:szCs w:val="21"/>
                <w:highlight w:val="none"/>
                <w:lang w:val="en-US" w:eastAsia="zh-CN"/>
              </w:rPr>
            </w:pPr>
            <w:r>
              <w:rPr>
                <w:rFonts w:ascii="Times New Roman" w:hAnsi="Times New Roman" w:eastAsia="宋体" w:cs="Times New Roman"/>
                <w:iCs/>
                <w:caps w:val="0"/>
                <w:smallCaps w:val="0"/>
                <w:color w:val="auto"/>
                <w:spacing w:val="0"/>
                <w:w w:val="100"/>
                <w:position w:val="0"/>
                <w:sz w:val="21"/>
                <w:szCs w:val="21"/>
                <w:highlight w:val="none"/>
              </w:rPr>
              <w:t>废机油、废活性炭、污水处理站污泥等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环境风险</w:t>
            </w:r>
          </w:p>
        </w:tc>
        <w:tc>
          <w:tcPr>
            <w:tcW w:w="53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highlight w:val="none"/>
                <w:lang w:val="en-US" w:eastAsia="zh-CN"/>
              </w:rPr>
              <w:t>/</w:t>
            </w:r>
          </w:p>
        </w:tc>
        <w:tc>
          <w:tcPr>
            <w:tcW w:w="23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Cs/>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iCs/>
                <w:caps w:val="0"/>
                <w:smallCaps w:val="0"/>
                <w:color w:val="auto"/>
                <w:spacing w:val="0"/>
                <w:w w:val="100"/>
                <w:position w:val="0"/>
                <w:sz w:val="21"/>
                <w:szCs w:val="21"/>
                <w:highlight w:val="none"/>
                <w:lang w:val="en-US" w:eastAsia="zh-CN"/>
              </w:rPr>
              <w:t>润滑油</w:t>
            </w:r>
          </w:p>
        </w:tc>
      </w:tr>
    </w:tbl>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99" w:name="_Toc9407"/>
      <w:r>
        <w:rPr>
          <w:rFonts w:hint="eastAsia" w:ascii="Times New Roman" w:hAnsi="Times New Roman" w:eastAsia="宋体" w:cs="Times New Roman"/>
          <w:bCs w:val="0"/>
          <w:color w:val="auto"/>
          <w:kern w:val="2"/>
          <w:szCs w:val="20"/>
          <w:highlight w:val="none"/>
          <w:lang w:val="en-US" w:eastAsia="zh-CN" w:bidi="ar-SA"/>
        </w:rPr>
        <w:t>2.4</w:t>
      </w:r>
      <w:r>
        <w:rPr>
          <w:rFonts w:hint="eastAsia" w:ascii="Times New Roman" w:hAnsi="Times New Roman" w:eastAsia="宋体" w:cs="Times New Roman"/>
          <w:bCs w:val="0"/>
          <w:color w:val="auto"/>
          <w:kern w:val="2"/>
          <w:szCs w:val="20"/>
          <w:highlight w:val="none"/>
          <w:lang w:val="en-US" w:bidi="ar-SA"/>
        </w:rPr>
        <w:t>环境功能区划及评价标准</w:t>
      </w:r>
      <w:bookmarkEnd w:id="99"/>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00" w:name="_bookmark25"/>
      <w:bookmarkEnd w:id="100"/>
      <w:bookmarkStart w:id="101" w:name="_bookmark25"/>
      <w:bookmarkEnd w:id="101"/>
      <w:bookmarkStart w:id="102" w:name="_Toc21918"/>
      <w:r>
        <w:rPr>
          <w:rFonts w:hint="eastAsia" w:ascii="Times New Roman" w:hAnsi="Times New Roman" w:eastAsia="宋体" w:cs="Times New Roman"/>
          <w:bCs w:val="0"/>
          <w:color w:val="auto"/>
          <w:szCs w:val="20"/>
          <w:highlight w:val="none"/>
          <w:lang w:val="en-US" w:eastAsia="zh-CN" w:bidi="ar-SA"/>
        </w:rPr>
        <w:t>2.4.1</w:t>
      </w:r>
      <w:r>
        <w:rPr>
          <w:rFonts w:ascii="Times New Roman" w:hAnsi="Times New Roman" w:eastAsia="宋体" w:cs="Times New Roman"/>
          <w:bCs w:val="0"/>
          <w:color w:val="auto"/>
          <w:szCs w:val="20"/>
          <w:highlight w:val="none"/>
          <w:lang w:val="en-US" w:bidi="ar-SA"/>
        </w:rPr>
        <w:t>环境功能区划</w:t>
      </w:r>
      <w:bookmarkEnd w:id="102"/>
    </w:p>
    <w:p>
      <w:pPr>
        <w:bidi w:val="0"/>
        <w:ind w:firstLine="883"/>
        <w:rPr>
          <w:rFonts w:hint="eastAsia" w:ascii="Times New Roman" w:hAnsi="Times New Roman" w:eastAsia="宋体" w:cs="Times New Roman"/>
          <w:color w:val="auto"/>
          <w:highlight w:val="none"/>
          <w:lang w:eastAsia="zh-CN"/>
        </w:rPr>
      </w:pPr>
      <w:bookmarkStart w:id="103" w:name="_bookmark26"/>
      <w:bookmarkEnd w:id="103"/>
      <w:bookmarkStart w:id="104" w:name="_bookmark26"/>
      <w:bookmarkEnd w:id="104"/>
      <w:r>
        <w:rPr>
          <w:rFonts w:hint="eastAsia" w:ascii="Times New Roman" w:hAnsi="Times New Roman" w:eastAsia="宋体" w:cs="Times New Roman"/>
          <w:color w:val="auto"/>
          <w:highlight w:val="none"/>
          <w:lang w:eastAsia="zh-CN"/>
        </w:rPr>
        <w:t>本项目位于</w:t>
      </w:r>
      <w:r>
        <w:rPr>
          <w:rFonts w:hint="eastAsia" w:ascii="Times New Roman" w:cs="Times New Roman"/>
          <w:color w:val="auto"/>
          <w:highlight w:val="none"/>
          <w:lang w:eastAsia="zh-CN"/>
        </w:rPr>
        <w:t>黑龙江大同经济开发区纸业园区</w:t>
      </w:r>
      <w:r>
        <w:rPr>
          <w:rFonts w:hint="eastAsia" w:ascii="Times New Roman" w:hAnsi="Times New Roman" w:eastAsia="宋体" w:cs="Times New Roman"/>
          <w:color w:val="auto"/>
          <w:highlight w:val="none"/>
          <w:lang w:eastAsia="zh-CN"/>
        </w:rPr>
        <w:t>，评价区环境质量功能区划见表</w:t>
      </w:r>
      <w:r>
        <w:rPr>
          <w:rFonts w:hint="eastAsia" w:ascii="Times New Roman" w:hAnsi="Times New Roman" w:eastAsia="宋体" w:cs="Times New Roman"/>
          <w:color w:val="auto"/>
          <w:highlight w:val="none"/>
          <w:lang w:val="en-US" w:eastAsia="zh-CN"/>
        </w:rPr>
        <w:t>2.4.1-1</w:t>
      </w:r>
      <w:r>
        <w:rPr>
          <w:rFonts w:hint="eastAsia" w:ascii="Times New Roman" w:hAnsi="Times New Roman" w:eastAsia="宋体" w:cs="Times New Roman"/>
          <w:color w:val="auto"/>
          <w:highlight w:val="none"/>
          <w:lang w:eastAsia="zh-CN"/>
        </w:rPr>
        <w:t>。</w:t>
      </w:r>
    </w:p>
    <w:p>
      <w:pPr>
        <w:bidi w:val="0"/>
        <w:ind w:firstLine="883"/>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w:t>
      </w:r>
      <w:r>
        <w:rPr>
          <w:rFonts w:hint="eastAsia" w:ascii="Times New Roman" w:hAnsi="Times New Roman" w:eastAsia="宋体" w:cs="Times New Roman"/>
          <w:color w:val="auto"/>
          <w:highlight w:val="none"/>
          <w:lang w:val="en-US" w:eastAsia="zh-CN"/>
        </w:rPr>
        <w:t>2.4.1-1</w:t>
      </w:r>
      <w:r>
        <w:rPr>
          <w:rFonts w:hint="eastAsia" w:ascii="Times New Roman" w:hAnsi="Times New Roman" w:eastAsia="宋体" w:cs="Times New Roman"/>
          <w:color w:val="auto"/>
          <w:highlight w:val="none"/>
          <w:lang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项目所在区域环境功能区划一览表</w:t>
      </w:r>
    </w:p>
    <w:tbl>
      <w:tblPr>
        <w:tblStyle w:val="28"/>
        <w:tblW w:w="901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98"/>
        <w:gridCol w:w="1320"/>
        <w:gridCol w:w="1173"/>
        <w:gridCol w:w="2053"/>
        <w:gridCol w:w="377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3"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序号</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环境要素</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所属区域</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功能区划</w:t>
            </w:r>
          </w:p>
        </w:tc>
        <w:tc>
          <w:tcPr>
            <w:tcW w:w="3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划分依据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12"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1</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环境空气</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大同区</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《环境空气质量标  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GB3095-2012）</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及其修改单二类区</w:t>
            </w:r>
          </w:p>
        </w:tc>
        <w:tc>
          <w:tcPr>
            <w:tcW w:w="37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大庆市人民政府关于印发大庆市声环境功能区划分、大庆市环境空气质量功能区划分、大庆市地表水环境功能区划分的通知</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庆政发〔2019〕11号</w:t>
            </w:r>
            <w:r>
              <w:rPr>
                <w:rFonts w:hint="eastAsia" w:cs="Times New Roman"/>
                <w:caps w:val="0"/>
                <w:smallCaps w:val="0"/>
                <w:snapToGrid w:val="0"/>
                <w:color w:val="auto"/>
                <w:spacing w:val="0"/>
                <w:w w:val="100"/>
                <w:kern w:val="0"/>
                <w:position w:val="0"/>
                <w:sz w:val="21"/>
                <w:szCs w:val="18"/>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76"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2</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地表水环境</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库里泡（过渡区）</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《地表水环境质量标准》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GB3838-2002）</w:t>
            </w:r>
            <w:r>
              <w:rPr>
                <w:rFonts w:hint="eastAsia" w:cs="Times New Roman"/>
                <w:caps w:val="0"/>
                <w:smallCaps w:val="0"/>
                <w:snapToGrid w:val="0"/>
                <w:color w:val="auto"/>
                <w:spacing w:val="0"/>
                <w:w w:val="100"/>
                <w:kern w:val="0"/>
                <w:position w:val="0"/>
                <w:sz w:val="21"/>
                <w:szCs w:val="18"/>
                <w:highlight w:val="none"/>
                <w:lang w:val="en-US" w:eastAsia="zh-CN"/>
              </w:rPr>
              <w:t>Ⅴ</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类</w:t>
            </w:r>
            <w:r>
              <w:rPr>
                <w:rFonts w:hint="eastAsia" w:cs="Times New Roman"/>
                <w:caps w:val="0"/>
                <w:smallCaps w:val="0"/>
                <w:snapToGrid w:val="0"/>
                <w:color w:val="auto"/>
                <w:spacing w:val="0"/>
                <w:w w:val="100"/>
                <w:kern w:val="0"/>
                <w:position w:val="0"/>
                <w:sz w:val="21"/>
                <w:szCs w:val="18"/>
                <w:highlight w:val="none"/>
                <w:lang w:val="en-US" w:eastAsia="zh-CN"/>
              </w:rPr>
              <w:t>水体</w:t>
            </w:r>
          </w:p>
        </w:tc>
        <w:tc>
          <w:tcPr>
            <w:tcW w:w="37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76"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3</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声环境</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纸业包装</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eastAsia" w:cs="Times New Roman"/>
                <w:caps w:val="0"/>
                <w:smallCaps w:val="0"/>
                <w:snapToGrid w:val="0"/>
                <w:color w:val="auto"/>
                <w:spacing w:val="0"/>
                <w:w w:val="100"/>
                <w:kern w:val="0"/>
                <w:position w:val="0"/>
                <w:sz w:val="21"/>
                <w:szCs w:val="18"/>
                <w:highlight w:val="none"/>
                <w:lang w:val="en-US" w:eastAsia="zh-CN"/>
              </w:rPr>
              <w:t>园区</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《声环境质量标准》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GB3096-2008）</w:t>
            </w:r>
            <w:r>
              <w:rPr>
                <w:rFonts w:hint="eastAsia" w:cs="Times New Roman"/>
                <w:caps w:val="0"/>
                <w:smallCaps w:val="0"/>
                <w:snapToGrid w:val="0"/>
                <w:color w:val="auto"/>
                <w:spacing w:val="0"/>
                <w:w w:val="100"/>
                <w:kern w:val="0"/>
                <w:position w:val="0"/>
                <w:sz w:val="21"/>
                <w:szCs w:val="18"/>
                <w:highlight w:val="none"/>
                <w:lang w:val="en-US" w:eastAsia="zh-CN"/>
              </w:rPr>
              <w:t>3</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类</w:t>
            </w:r>
            <w:r>
              <w:rPr>
                <w:rFonts w:hint="eastAsia" w:cs="Times New Roman"/>
                <w:caps w:val="0"/>
                <w:smallCaps w:val="0"/>
                <w:snapToGrid w:val="0"/>
                <w:color w:val="auto"/>
                <w:spacing w:val="0"/>
                <w:w w:val="100"/>
                <w:kern w:val="0"/>
                <w:position w:val="0"/>
                <w:sz w:val="21"/>
                <w:szCs w:val="18"/>
                <w:highlight w:val="none"/>
                <w:lang w:val="en-US" w:eastAsia="zh-CN"/>
              </w:rPr>
              <w:t>区域</w:t>
            </w:r>
          </w:p>
        </w:tc>
        <w:tc>
          <w:tcPr>
            <w:tcW w:w="37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76"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4</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地下水环境</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《地下水质量标准》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GB/T14848-2017）中Ⅲ类</w:t>
            </w:r>
          </w:p>
        </w:tc>
        <w:tc>
          <w:tcPr>
            <w:tcW w:w="3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区域居民以地下水为水源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49" w:hRule="atLeast"/>
          <w:jc w:val="center"/>
        </w:trPr>
        <w:tc>
          <w:tcPr>
            <w:tcW w:w="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5</w:t>
            </w:r>
          </w:p>
        </w:tc>
        <w:tc>
          <w:tcPr>
            <w:tcW w:w="13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土壤环境</w:t>
            </w:r>
          </w:p>
        </w:tc>
        <w:tc>
          <w:tcPr>
            <w:tcW w:w="1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工业</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建设</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用地</w:t>
            </w:r>
          </w:p>
        </w:tc>
        <w:tc>
          <w:tcPr>
            <w:tcW w:w="20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二类用地</w:t>
            </w:r>
          </w:p>
        </w:tc>
        <w:tc>
          <w:tcPr>
            <w:tcW w:w="3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bidi="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土壤环境质量 建设用地土壤污染风险管控标准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试行）</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rPr>
              <w:t>GB36600-2018</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color w:val="auto"/>
          <w:spacing w:val="0"/>
          <w:w w:val="99"/>
          <w:position w:val="0"/>
          <w:highlight w:val="none"/>
        </w:rPr>
      </w:pPr>
      <w:bookmarkStart w:id="105" w:name="_Toc10265"/>
      <w:r>
        <w:rPr>
          <w:rFonts w:hint="eastAsia" w:ascii="Times New Roman" w:hAnsi="Times New Roman" w:eastAsia="宋体" w:cs="Times New Roman"/>
          <w:color w:val="auto"/>
          <w:spacing w:val="0"/>
          <w:w w:val="99"/>
          <w:position w:val="0"/>
          <w:highlight w:val="none"/>
          <w:lang w:val="en-US" w:eastAsia="zh-CN"/>
        </w:rPr>
        <w:t>2.4.2</w:t>
      </w:r>
      <w:r>
        <w:rPr>
          <w:rFonts w:ascii="Times New Roman" w:hAnsi="Times New Roman" w:eastAsia="宋体" w:cs="Times New Roman"/>
          <w:color w:val="auto"/>
          <w:spacing w:val="0"/>
          <w:w w:val="99"/>
          <w:position w:val="0"/>
          <w:highlight w:val="none"/>
        </w:rPr>
        <w:t>环境质量标准</w:t>
      </w:r>
      <w:bookmarkEnd w:id="105"/>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06" w:name="_Toc5523"/>
      <w:r>
        <w:rPr>
          <w:rFonts w:hint="eastAsia" w:ascii="Times New Roman" w:hAnsi="Times New Roman" w:eastAsia="宋体" w:cs="Times New Roman"/>
          <w:b/>
          <w:bCs/>
          <w:color w:val="auto"/>
          <w:szCs w:val="20"/>
          <w:highlight w:val="none"/>
          <w:lang w:val="en-US" w:eastAsia="zh-CN" w:bidi="ar-SA"/>
        </w:rPr>
        <w:t>2.4.2.1</w:t>
      </w:r>
      <w:r>
        <w:rPr>
          <w:rFonts w:hint="eastAsia" w:ascii="Times New Roman" w:hAnsi="Times New Roman" w:eastAsia="宋体" w:cs="Times New Roman"/>
          <w:b/>
          <w:bCs/>
          <w:color w:val="auto"/>
          <w:szCs w:val="20"/>
          <w:highlight w:val="none"/>
          <w:lang w:val="en-US" w:bidi="ar-SA"/>
        </w:rPr>
        <w:t>水环境</w:t>
      </w:r>
      <w:bookmarkEnd w:id="106"/>
    </w:p>
    <w:p>
      <w:pPr>
        <w:bidi w:val="0"/>
        <w:rPr>
          <w:color w:val="auto"/>
          <w:highlight w:val="none"/>
        </w:rPr>
      </w:pPr>
      <w:r>
        <w:rPr>
          <w:color w:val="auto"/>
          <w:highlight w:val="none"/>
        </w:rPr>
        <w:t>本项目所在区域地表水体为</w:t>
      </w:r>
      <w:r>
        <w:rPr>
          <w:rFonts w:hint="eastAsia"/>
          <w:color w:val="auto"/>
          <w:highlight w:val="none"/>
          <w:lang w:eastAsia="zh-CN"/>
        </w:rPr>
        <w:t>库里泡</w:t>
      </w:r>
      <w:r>
        <w:rPr>
          <w:color w:val="auto"/>
          <w:highlight w:val="none"/>
        </w:rPr>
        <w:t>，</w:t>
      </w:r>
      <w:r>
        <w:rPr>
          <w:rFonts w:hint="eastAsia"/>
          <w:color w:val="auto"/>
          <w:highlight w:val="none"/>
          <w:lang w:eastAsia="zh-CN"/>
        </w:rPr>
        <w:t>根据《大庆市人民政府关于印发大庆市声环境功能区划分、大</w:t>
      </w:r>
      <w:r>
        <w:rPr>
          <w:color w:val="auto"/>
          <w:highlight w:val="none"/>
        </w:rPr>
        <w:t>庆市环境空气质量功能区划分、大庆市地表水环境功能区划分的通知》</w:t>
      </w:r>
      <w:r>
        <w:rPr>
          <w:rFonts w:hint="eastAsia"/>
          <w:color w:val="auto"/>
          <w:highlight w:val="none"/>
          <w:lang w:eastAsia="zh-CN"/>
        </w:rPr>
        <w:t>（</w:t>
      </w:r>
      <w:r>
        <w:rPr>
          <w:color w:val="auto"/>
          <w:highlight w:val="none"/>
        </w:rPr>
        <w:t>庆政发</w:t>
      </w:r>
      <w:r>
        <w:rPr>
          <w:rFonts w:hint="eastAsia"/>
          <w:color w:val="auto"/>
          <w:highlight w:val="none"/>
          <w:lang w:eastAsia="zh-CN"/>
        </w:rPr>
        <w:t>[</w:t>
      </w:r>
      <w:r>
        <w:rPr>
          <w:color w:val="auto"/>
          <w:highlight w:val="none"/>
        </w:rPr>
        <w:t>2019</w:t>
      </w:r>
      <w:r>
        <w:rPr>
          <w:rFonts w:hint="eastAsia"/>
          <w:color w:val="auto"/>
          <w:highlight w:val="none"/>
          <w:lang w:eastAsia="zh-CN"/>
        </w:rPr>
        <w:t>]</w:t>
      </w:r>
      <w:r>
        <w:rPr>
          <w:color w:val="auto"/>
          <w:highlight w:val="none"/>
        </w:rPr>
        <w:t>11号），</w:t>
      </w:r>
      <w:r>
        <w:rPr>
          <w:rFonts w:hint="eastAsia"/>
          <w:color w:val="auto"/>
          <w:highlight w:val="none"/>
          <w:lang w:eastAsia="zh-CN"/>
        </w:rPr>
        <w:t>库里泡地表水环境功能为过渡区，</w:t>
      </w:r>
      <w:r>
        <w:rPr>
          <w:color w:val="auto"/>
          <w:highlight w:val="none"/>
        </w:rPr>
        <w:t>执行《地表水环境质量标准》</w:t>
      </w:r>
      <w:r>
        <w:rPr>
          <w:rFonts w:hint="eastAsia"/>
          <w:color w:val="auto"/>
          <w:highlight w:val="none"/>
          <w:lang w:eastAsia="zh-CN"/>
        </w:rPr>
        <w:t>（</w:t>
      </w:r>
      <w:r>
        <w:rPr>
          <w:color w:val="auto"/>
          <w:highlight w:val="none"/>
        </w:rPr>
        <w:t>GB3838-2002）中</w:t>
      </w:r>
      <w:r>
        <w:rPr>
          <w:rFonts w:hint="eastAsia"/>
          <w:color w:val="auto"/>
          <w:highlight w:val="none"/>
        </w:rPr>
        <w:t>V</w:t>
      </w:r>
      <w:r>
        <w:rPr>
          <w:color w:val="auto"/>
          <w:highlight w:val="none"/>
        </w:rPr>
        <w:t>类水体标准，具体标准值见表</w:t>
      </w:r>
      <w:r>
        <w:rPr>
          <w:rFonts w:hint="eastAsia"/>
          <w:color w:val="auto"/>
          <w:highlight w:val="none"/>
          <w:lang w:val="en-US" w:eastAsia="zh-CN"/>
        </w:rPr>
        <w:t>2.4.2.1-1</w:t>
      </w:r>
      <w:r>
        <w:rPr>
          <w:color w:val="auto"/>
          <w:highlight w:val="none"/>
        </w:rPr>
        <w:t>。</w:t>
      </w:r>
    </w:p>
    <w:p>
      <w:pPr>
        <w:bidi w:val="0"/>
        <w:rPr>
          <w:color w:val="auto"/>
          <w:highlight w:val="none"/>
        </w:rPr>
      </w:pPr>
      <w:r>
        <w:rPr>
          <w:color w:val="auto"/>
          <w:highlight w:val="none"/>
        </w:rPr>
        <w:t>表</w:t>
      </w:r>
      <w:r>
        <w:rPr>
          <w:rFonts w:hint="eastAsia"/>
          <w:color w:val="auto"/>
          <w:highlight w:val="none"/>
          <w:lang w:val="en-US" w:eastAsia="zh-CN"/>
        </w:rPr>
        <w:t>2.4.2.1-1</w:t>
      </w:r>
      <w:r>
        <w:rPr>
          <w:color w:val="auto"/>
          <w:highlight w:val="none"/>
        </w:rPr>
        <w:t xml:space="preserve">    </w:t>
      </w:r>
      <w:r>
        <w:rPr>
          <w:rFonts w:hint="eastAsia"/>
          <w:color w:val="auto"/>
          <w:highlight w:val="none"/>
          <w:lang w:val="en-US" w:eastAsia="zh-CN"/>
        </w:rPr>
        <w:t xml:space="preserve">      </w:t>
      </w:r>
      <w:r>
        <w:rPr>
          <w:color w:val="auto"/>
          <w:highlight w:val="none"/>
        </w:rPr>
        <w:t>地表水环境质量执行标准一览表</w:t>
      </w:r>
    </w:p>
    <w:tbl>
      <w:tblPr>
        <w:tblStyle w:val="28"/>
        <w:tblW w:w="899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83"/>
        <w:gridCol w:w="2714"/>
        <w:gridCol w:w="1466"/>
        <w:gridCol w:w="1437"/>
        <w:gridCol w:w="249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6"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序号</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单位</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V</w:t>
            </w:r>
            <w:r>
              <w:rPr>
                <w:rFonts w:ascii="Times New Roman" w:hAnsi="Times New Roman" w:eastAsia="宋体" w:cs="Times New Roman"/>
                <w:color w:val="auto"/>
                <w:spacing w:val="0"/>
                <w:w w:val="100"/>
                <w:position w:val="0"/>
                <w:sz w:val="21"/>
                <w:szCs w:val="21"/>
                <w:highlight w:val="none"/>
              </w:rPr>
              <w:t>类标准值</w:t>
            </w:r>
          </w:p>
        </w:tc>
        <w:tc>
          <w:tcPr>
            <w:tcW w:w="2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pH</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无量纲</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6～9</w:t>
            </w:r>
          </w:p>
        </w:tc>
        <w:tc>
          <w:tcPr>
            <w:tcW w:w="249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 xml:space="preserve">《地表水环境质量标准》 </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GB3838-2002）</w:t>
            </w:r>
            <w:r>
              <w:rPr>
                <w:rFonts w:hint="eastAsia" w:ascii="Times New Roman" w:hAnsi="Times New Roman" w:eastAsia="宋体" w:cs="Times New Roman"/>
                <w:color w:val="auto"/>
                <w:spacing w:val="0"/>
                <w:w w:val="100"/>
                <w:position w:val="0"/>
                <w:sz w:val="21"/>
                <w:szCs w:val="21"/>
                <w:highlight w:val="none"/>
              </w:rPr>
              <w:t>V</w:t>
            </w:r>
            <w:r>
              <w:rPr>
                <w:rFonts w:ascii="Times New Roman" w:hAnsi="Times New Roman" w:eastAsia="宋体" w:cs="Times New Roman"/>
                <w:color w:val="auto"/>
                <w:spacing w:val="0"/>
                <w:w w:val="100"/>
                <w:position w:val="0"/>
                <w:sz w:val="21"/>
                <w:szCs w:val="21"/>
                <w:highlight w:val="none"/>
              </w:rPr>
              <w:t>类</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COD</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mg/L</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40</w:t>
            </w:r>
          </w:p>
        </w:tc>
        <w:tc>
          <w:tcPr>
            <w:tcW w:w="24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14"/>
                <w:highlight w:val="none"/>
              </w:rPr>
            </w:pPr>
            <w:r>
              <w:rPr>
                <w:rFonts w:ascii="Times New Roman" w:hAnsi="Times New Roman" w:eastAsia="宋体" w:cs="Times New Roman"/>
                <w:color w:val="auto"/>
                <w:spacing w:val="0"/>
                <w:w w:val="100"/>
                <w:position w:val="0"/>
                <w:sz w:val="21"/>
                <w:szCs w:val="21"/>
                <w:highlight w:val="none"/>
              </w:rPr>
              <w:t>BOD</w:t>
            </w:r>
            <w:r>
              <w:rPr>
                <w:rFonts w:ascii="Times New Roman" w:hAnsi="Times New Roman" w:eastAsia="宋体" w:cs="Times New Roman"/>
                <w:color w:val="auto"/>
                <w:spacing w:val="0"/>
                <w:w w:val="100"/>
                <w:position w:val="0"/>
                <w:sz w:val="21"/>
                <w:szCs w:val="14"/>
                <w:highlight w:val="none"/>
                <w:vertAlign w:val="subscript"/>
              </w:rPr>
              <w:t>5</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mg/L</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10</w:t>
            </w:r>
          </w:p>
        </w:tc>
        <w:tc>
          <w:tcPr>
            <w:tcW w:w="24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4</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氨氮</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mg/L</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2.0</w:t>
            </w:r>
          </w:p>
        </w:tc>
        <w:tc>
          <w:tcPr>
            <w:tcW w:w="24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98"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5</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总</w:t>
            </w:r>
            <w:r>
              <w:rPr>
                <w:rFonts w:hint="eastAsia" w:ascii="Times New Roman" w:cs="Times New Roman"/>
                <w:color w:val="auto"/>
                <w:spacing w:val="0"/>
                <w:w w:val="100"/>
                <w:position w:val="0"/>
                <w:sz w:val="21"/>
                <w:szCs w:val="21"/>
                <w:highlight w:val="none"/>
                <w:lang w:val="en-US" w:eastAsia="zh-CN"/>
              </w:rPr>
              <w:t>磷</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mg/L</w:t>
            </w:r>
          </w:p>
        </w:tc>
        <w:tc>
          <w:tcPr>
            <w:tcW w:w="1437" w:type="dxa"/>
            <w:tcBorders>
              <w:tl2br w:val="nil"/>
              <w:tr2bl w:val="nil"/>
            </w:tcBorders>
            <w:vAlign w:val="center"/>
          </w:tcPr>
          <w:p>
            <w:pPr>
              <w:pStyle w:val="27"/>
              <w:keepNext w:val="0"/>
              <w:keepLines w:val="0"/>
              <w:pageBreakBefore w:val="0"/>
              <w:widowControl w:val="0"/>
              <w:kinsoku/>
              <w:wordWrap/>
              <w:overflowPunct/>
              <w:topLinePunct w:val="0"/>
              <w:bidi w:val="0"/>
              <w:spacing w:line="360" w:lineRule="exact"/>
              <w:ind w:firstLine="0" w:firstLineChars="0"/>
              <w:jc w:val="center"/>
              <w:textAlignment w:val="auto"/>
              <w:rPr>
                <w:rFonts w:hint="eastAsia" w:cs="Times New Roman"/>
                <w:color w:val="auto"/>
                <w:w w:val="100"/>
                <w:sz w:val="21"/>
                <w:highlight w:val="none"/>
                <w:lang w:val="en-US" w:eastAsia="zh-CN"/>
              </w:rPr>
            </w:pPr>
            <w:r>
              <w:rPr>
                <w:rFonts w:hint="eastAsia" w:cs="Times New Roman"/>
                <w:color w:val="auto"/>
                <w:w w:val="100"/>
                <w:sz w:val="21"/>
                <w:highlight w:val="none"/>
                <w:lang w:val="en-US" w:eastAsia="zh-CN"/>
              </w:rPr>
              <w:t>0.4</w:t>
            </w:r>
          </w:p>
          <w:p>
            <w:pPr>
              <w:pStyle w:val="27"/>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（湖、库0.</w:t>
            </w:r>
            <w:r>
              <w:rPr>
                <w:rFonts w:hint="eastAsia" w:cs="Times New Roman"/>
                <w:color w:val="auto"/>
                <w:spacing w:val="0"/>
                <w:w w:val="100"/>
                <w:position w:val="0"/>
                <w:sz w:val="21"/>
                <w:szCs w:val="21"/>
                <w:highlight w:val="none"/>
                <w:lang w:val="en-US" w:eastAsia="zh-CN"/>
              </w:rPr>
              <w:t>2</w:t>
            </w:r>
            <w:r>
              <w:rPr>
                <w:rFonts w:hint="eastAsia" w:ascii="Times New Roman" w:hAnsi="Times New Roman" w:eastAsia="宋体" w:cs="Times New Roman"/>
                <w:color w:val="auto"/>
                <w:spacing w:val="0"/>
                <w:w w:val="100"/>
                <w:position w:val="0"/>
                <w:sz w:val="21"/>
                <w:szCs w:val="21"/>
                <w:highlight w:val="none"/>
                <w:lang w:val="en-US" w:eastAsia="zh-CN"/>
              </w:rPr>
              <w:t>）</w:t>
            </w:r>
          </w:p>
        </w:tc>
        <w:tc>
          <w:tcPr>
            <w:tcW w:w="24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6</w:t>
            </w:r>
          </w:p>
        </w:tc>
        <w:tc>
          <w:tcPr>
            <w:tcW w:w="27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粪大肠菌群</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个/L）</w:t>
            </w:r>
          </w:p>
        </w:tc>
        <w:tc>
          <w:tcPr>
            <w:tcW w:w="14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mg/L</w:t>
            </w:r>
          </w:p>
        </w:tc>
        <w:tc>
          <w:tcPr>
            <w:tcW w:w="14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40000</w:t>
            </w:r>
          </w:p>
        </w:tc>
        <w:tc>
          <w:tcPr>
            <w:tcW w:w="24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07" w:name="_Toc8662"/>
      <w:r>
        <w:rPr>
          <w:rFonts w:hint="eastAsia" w:ascii="Times New Roman" w:hAnsi="Times New Roman" w:eastAsia="宋体" w:cs="Times New Roman"/>
          <w:b/>
          <w:bCs/>
          <w:color w:val="auto"/>
          <w:szCs w:val="20"/>
          <w:highlight w:val="none"/>
          <w:lang w:val="en-US" w:eastAsia="zh-CN" w:bidi="ar-SA"/>
        </w:rPr>
        <w:t>2.4.2.2</w:t>
      </w:r>
      <w:r>
        <w:rPr>
          <w:rFonts w:hint="eastAsia" w:ascii="Times New Roman" w:hAnsi="Times New Roman" w:eastAsia="宋体" w:cs="Times New Roman"/>
          <w:b/>
          <w:bCs/>
          <w:color w:val="auto"/>
          <w:szCs w:val="20"/>
          <w:highlight w:val="none"/>
          <w:lang w:val="en-US" w:bidi="ar-SA"/>
        </w:rPr>
        <w:t>环境空气</w:t>
      </w:r>
      <w:bookmarkEnd w:id="107"/>
    </w:p>
    <w:p>
      <w:pPr>
        <w:bidi w:val="0"/>
        <w:ind w:firstLine="883"/>
        <w:rPr>
          <w:rFonts w:ascii="Times New Roman" w:hAnsi="Times New Roman" w:eastAsia="宋体" w:cs="Times New Roman"/>
          <w:color w:val="auto"/>
          <w:highlight w:val="none"/>
        </w:rPr>
      </w:pPr>
      <w:r>
        <w:rPr>
          <w:rFonts w:ascii="Times New Roman" w:hAnsi="Times New Roman" w:eastAsia="宋体" w:cs="Times New Roman"/>
          <w:color w:val="auto"/>
          <w:highlight w:val="none"/>
        </w:rPr>
        <w:t>评价区域为二类环境空气质量功能区，执行《环境空气质量标准》</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GB3095-2012）中表1的二级标准，详见表</w:t>
      </w:r>
      <w:r>
        <w:rPr>
          <w:rFonts w:hint="eastAsia" w:ascii="Times New Roman" w:hAnsi="Times New Roman" w:eastAsia="宋体" w:cs="Times New Roman"/>
          <w:color w:val="auto"/>
          <w:highlight w:val="none"/>
          <w:lang w:val="en-US" w:eastAsia="zh-CN"/>
        </w:rPr>
        <w:t>2.4.2.2-1</w:t>
      </w:r>
      <w:r>
        <w:rPr>
          <w:rFonts w:ascii="Times New Roman" w:hAnsi="Times New Roman" w:eastAsia="宋体" w:cs="Times New Roman"/>
          <w:color w:val="auto"/>
          <w:highlight w:val="none"/>
        </w:rPr>
        <w:t>。</w:t>
      </w:r>
    </w:p>
    <w:p>
      <w:pPr>
        <w:bidi w:val="0"/>
        <w:ind w:firstLine="883"/>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2.4.2.2-1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环境空气质量评价标准</w:t>
      </w:r>
    </w:p>
    <w:tbl>
      <w:tblPr>
        <w:tblStyle w:val="23"/>
        <w:tblW w:w="94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54"/>
        <w:gridCol w:w="2181"/>
        <w:gridCol w:w="2173"/>
        <w:gridCol w:w="37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51" w:hRule="atLeast"/>
          <w:jc w:val="center"/>
        </w:trPr>
        <w:tc>
          <w:tcPr>
            <w:tcW w:w="1354"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污染物</w:t>
            </w:r>
          </w:p>
        </w:tc>
        <w:tc>
          <w:tcPr>
            <w:tcW w:w="4354" w:type="dxa"/>
            <w:gridSpan w:val="2"/>
            <w:vAlign w:val="center"/>
          </w:tcPr>
          <w:p>
            <w:pPr>
              <w:pStyle w:val="29"/>
              <w:keepNext w:val="0"/>
              <w:keepLines w:val="0"/>
              <w:pageBreakBefore w:val="0"/>
              <w:widowControl w:val="0"/>
              <w:kinsoku/>
              <w:wordWrap/>
              <w:overflowPunct/>
              <w:topLinePunct w:val="0"/>
              <w:autoSpaceDE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环境质量标准</w:t>
            </w:r>
          </w:p>
        </w:tc>
        <w:tc>
          <w:tcPr>
            <w:tcW w:w="3711"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取值时间</w:t>
            </w:r>
          </w:p>
        </w:tc>
        <w:tc>
          <w:tcPr>
            <w:tcW w:w="2173" w:type="dxa"/>
            <w:vAlign w:val="center"/>
          </w:tcPr>
          <w:p>
            <w:pPr>
              <w:pStyle w:val="29"/>
              <w:keepNext w:val="0"/>
              <w:keepLines w:val="0"/>
              <w:pageBreakBefore w:val="0"/>
              <w:widowControl w:val="0"/>
              <w:kinsoku/>
              <w:wordWrap/>
              <w:overflowPunct/>
              <w:topLinePunct w:val="0"/>
              <w:autoSpaceDE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浓度限值µg/m</w:t>
            </w:r>
            <w:r>
              <w:rPr>
                <w:rFonts w:ascii="Times New Roman" w:hAnsi="Times New Roman" w:eastAsia="宋体" w:cs="Times New Roman"/>
                <w:caps w:val="0"/>
                <w:smallCaps w:val="0"/>
                <w:color w:val="auto"/>
                <w:spacing w:val="0"/>
                <w:w w:val="100"/>
                <w:kern w:val="0"/>
                <w:position w:val="0"/>
                <w:sz w:val="21"/>
                <w:szCs w:val="21"/>
                <w:highlight w:val="none"/>
                <w:vertAlign w:val="superscript"/>
                <w:lang w:val="en-US" w:eastAsia="zh-CN"/>
              </w:rPr>
              <w:t>3</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restart"/>
            <w:vAlign w:val="center"/>
          </w:tcPr>
          <w:p>
            <w:pPr>
              <w:pStyle w:val="29"/>
              <w:keepNext w:val="0"/>
              <w:keepLines w:val="0"/>
              <w:pageBreakBefore w:val="0"/>
              <w:widowControl w:val="0"/>
              <w:kinsoku/>
              <w:wordWrap/>
              <w:overflowPunct/>
              <w:topLinePunct w:val="0"/>
              <w:autoSpaceDE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SO</w:t>
            </w:r>
            <w:r>
              <w:rPr>
                <w:rFonts w:ascii="Times New Roman" w:hAnsi="Times New Roman" w:eastAsia="宋体" w:cs="Times New Roman"/>
                <w:caps w:val="0"/>
                <w:smallCaps w:val="0"/>
                <w:color w:val="auto"/>
                <w:spacing w:val="0"/>
                <w:w w:val="100"/>
                <w:kern w:val="0"/>
                <w:position w:val="0"/>
                <w:sz w:val="21"/>
                <w:szCs w:val="21"/>
                <w:highlight w:val="none"/>
                <w:vertAlign w:val="subscript"/>
                <w:lang w:val="en-US" w:eastAsia="zh-CN"/>
              </w:rPr>
              <w:t>2</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年平均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60</w:t>
            </w:r>
          </w:p>
        </w:tc>
        <w:tc>
          <w:tcPr>
            <w:tcW w:w="3711"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《环境空气质量标准》</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ascii="Times New Roman" w:hAnsi="Times New Roman" w:eastAsia="宋体" w:cs="Times New Roman"/>
                <w:caps w:val="0"/>
                <w:smallCaps w:val="0"/>
                <w:color w:val="auto"/>
                <w:spacing w:val="0"/>
                <w:w w:val="100"/>
                <w:kern w:val="0"/>
                <w:position w:val="0"/>
                <w:sz w:val="21"/>
                <w:szCs w:val="21"/>
                <w:highlight w:val="none"/>
                <w:lang w:val="en-US" w:eastAsia="zh-CN"/>
              </w:rPr>
              <w:t>GB3095–2012）中表1的二级标准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24小时平均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150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1小时平均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500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restart"/>
            <w:vAlign w:val="center"/>
          </w:tcPr>
          <w:p>
            <w:pPr>
              <w:pStyle w:val="29"/>
              <w:keepNext w:val="0"/>
              <w:keepLines w:val="0"/>
              <w:pageBreakBefore w:val="0"/>
              <w:widowControl w:val="0"/>
              <w:kinsoku/>
              <w:wordWrap/>
              <w:overflowPunct/>
              <w:topLinePunct w:val="0"/>
              <w:autoSpaceDE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NO</w:t>
            </w:r>
            <w:r>
              <w:rPr>
                <w:rFonts w:ascii="Times New Roman" w:hAnsi="Times New Roman" w:eastAsia="宋体" w:cs="Times New Roman"/>
                <w:caps w:val="0"/>
                <w:smallCaps w:val="0"/>
                <w:color w:val="auto"/>
                <w:spacing w:val="0"/>
                <w:w w:val="100"/>
                <w:kern w:val="0"/>
                <w:position w:val="0"/>
                <w:sz w:val="21"/>
                <w:szCs w:val="21"/>
                <w:highlight w:val="none"/>
                <w:vertAlign w:val="subscript"/>
                <w:lang w:val="en-US" w:eastAsia="zh-CN"/>
              </w:rPr>
              <w:t>2</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年平均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40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24小时平均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80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1小时平均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200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PM</w:t>
            </w:r>
            <w:r>
              <w:rPr>
                <w:rFonts w:ascii="Times New Roman" w:hAnsi="Times New Roman" w:eastAsia="宋体" w:cs="Times New Roman"/>
                <w:caps w:val="0"/>
                <w:smallCaps w:val="0"/>
                <w:color w:val="auto"/>
                <w:spacing w:val="0"/>
                <w:w w:val="100"/>
                <w:kern w:val="0"/>
                <w:position w:val="0"/>
                <w:sz w:val="21"/>
                <w:szCs w:val="21"/>
                <w:highlight w:val="none"/>
                <w:vertAlign w:val="subscript"/>
                <w:lang w:val="en-US" w:eastAsia="zh-CN"/>
              </w:rPr>
              <w:t>10</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年平均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70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24小时平均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150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PM</w:t>
            </w:r>
            <w:r>
              <w:rPr>
                <w:rFonts w:ascii="Times New Roman" w:hAnsi="Times New Roman" w:eastAsia="宋体" w:cs="Times New Roman"/>
                <w:caps w:val="0"/>
                <w:smallCaps w:val="0"/>
                <w:color w:val="auto"/>
                <w:spacing w:val="0"/>
                <w:w w:val="100"/>
                <w:kern w:val="0"/>
                <w:position w:val="0"/>
                <w:sz w:val="21"/>
                <w:szCs w:val="21"/>
                <w:highlight w:val="none"/>
                <w:vertAlign w:val="subscript"/>
                <w:lang w:val="en-US" w:eastAsia="zh-CN"/>
              </w:rPr>
              <w:t>2.5</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年平均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35</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24小时平均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75</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1" w:hRule="atLeast"/>
          <w:jc w:val="center"/>
        </w:trPr>
        <w:tc>
          <w:tcPr>
            <w:tcW w:w="1354"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 xml:space="preserve">氨 </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 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200</w:t>
            </w:r>
          </w:p>
        </w:tc>
        <w:tc>
          <w:tcPr>
            <w:tcW w:w="3711"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《环境影响评价技术导则 大气环境》（HJ2.2-2018）表 D.1 其他污染物空气质量浓度参考限值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742" w:hRule="atLeast"/>
          <w:jc w:val="center"/>
        </w:trPr>
        <w:tc>
          <w:tcPr>
            <w:tcW w:w="1354"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 xml:space="preserve">硫化氢 </w:t>
            </w:r>
          </w:p>
        </w:tc>
        <w:tc>
          <w:tcPr>
            <w:tcW w:w="218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 小时平均</w:t>
            </w:r>
          </w:p>
        </w:tc>
        <w:tc>
          <w:tcPr>
            <w:tcW w:w="21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10</w:t>
            </w:r>
          </w:p>
        </w:tc>
        <w:tc>
          <w:tcPr>
            <w:tcW w:w="3711"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08" w:name="_Toc13480"/>
      <w:r>
        <w:rPr>
          <w:rFonts w:hint="eastAsia" w:ascii="Times New Roman" w:hAnsi="Times New Roman" w:eastAsia="宋体" w:cs="Times New Roman"/>
          <w:b/>
          <w:bCs/>
          <w:color w:val="auto"/>
          <w:szCs w:val="20"/>
          <w:highlight w:val="none"/>
          <w:lang w:val="en-US" w:eastAsia="zh-CN" w:bidi="ar-SA"/>
        </w:rPr>
        <w:t>2.4.2.3</w:t>
      </w:r>
      <w:r>
        <w:rPr>
          <w:rFonts w:hint="eastAsia" w:ascii="Times New Roman" w:hAnsi="Times New Roman" w:eastAsia="宋体" w:cs="Times New Roman"/>
          <w:b/>
          <w:bCs/>
          <w:color w:val="auto"/>
          <w:szCs w:val="20"/>
          <w:highlight w:val="none"/>
          <w:lang w:val="en-US" w:bidi="ar-SA"/>
        </w:rPr>
        <w:t>声环境</w:t>
      </w:r>
      <w:bookmarkEnd w:id="108"/>
    </w:p>
    <w:p>
      <w:pPr>
        <w:bidi w:val="0"/>
        <w:ind w:firstLine="883"/>
        <w:rPr>
          <w:rFonts w:ascii="Times New Roman" w:hAnsi="Times New Roman" w:eastAsia="宋体" w:cs="Times New Roman"/>
          <w:color w:val="auto"/>
          <w:highlight w:val="none"/>
        </w:rPr>
      </w:pPr>
      <w:r>
        <w:rPr>
          <w:rFonts w:hint="eastAsia" w:ascii="Times New Roman" w:cs="Times New Roman"/>
          <w:color w:val="auto"/>
          <w:sz w:val="24"/>
          <w:highlight w:val="none"/>
          <w:lang w:val="en-US" w:eastAsia="zh-CN"/>
        </w:rPr>
        <w:t>本项目位于</w:t>
      </w:r>
      <w:r>
        <w:rPr>
          <w:rFonts w:hint="eastAsia" w:ascii="Times New Roman" w:cs="Times New Roman"/>
          <w:color w:val="auto"/>
          <w:highlight w:val="none"/>
          <w:lang w:eastAsia="zh-CN"/>
        </w:rPr>
        <w:t>黑龙江大同经济开发区纸业园区，</w:t>
      </w:r>
      <w:r>
        <w:rPr>
          <w:rFonts w:ascii="Times New Roman" w:hAnsi="Times New Roman" w:eastAsia="宋体" w:cs="Times New Roman"/>
          <w:color w:val="auto"/>
          <w:highlight w:val="none"/>
        </w:rPr>
        <w:t>评价区域内执行《声环境质量标准》</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GB3096-2008）中的</w:t>
      </w:r>
      <w:r>
        <w:rPr>
          <w:rFonts w:hint="eastAsia" w:cs="Times New Roman"/>
          <w:color w:val="auto"/>
          <w:highlight w:val="none"/>
          <w:lang w:val="en-US" w:eastAsia="zh-CN"/>
        </w:rPr>
        <w:t>3</w:t>
      </w:r>
      <w:r>
        <w:rPr>
          <w:rFonts w:ascii="Times New Roman" w:hAnsi="Times New Roman" w:eastAsia="宋体" w:cs="Times New Roman"/>
          <w:color w:val="auto"/>
          <w:highlight w:val="none"/>
        </w:rPr>
        <w:t>类标准：</w:t>
      </w:r>
    </w:p>
    <w:p>
      <w:pPr>
        <w:bidi w:val="0"/>
        <w:ind w:firstLine="883"/>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2.4.2.3-1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声环境执行标准一览表</w:t>
      </w:r>
    </w:p>
    <w:tbl>
      <w:tblPr>
        <w:tblStyle w:val="23"/>
        <w:tblW w:w="96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93"/>
        <w:gridCol w:w="1788"/>
        <w:gridCol w:w="3100"/>
        <w:gridCol w:w="21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93"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声环境功能区类别</w:t>
            </w:r>
          </w:p>
        </w:tc>
        <w:tc>
          <w:tcPr>
            <w:tcW w:w="1788" w:type="dxa"/>
            <w:vMerge w:val="restart"/>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单位</w:t>
            </w:r>
          </w:p>
        </w:tc>
        <w:tc>
          <w:tcPr>
            <w:tcW w:w="5278" w:type="dxa"/>
            <w:gridSpan w:val="2"/>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593"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1788" w:type="dxa"/>
            <w:vMerge w:val="continue"/>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3100"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昼间</w:t>
            </w:r>
          </w:p>
        </w:tc>
        <w:tc>
          <w:tcPr>
            <w:tcW w:w="2178"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259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3</w:t>
            </w:r>
            <w:r>
              <w:rPr>
                <w:rFonts w:ascii="Times New Roman" w:hAnsi="Times New Roman" w:eastAsia="宋体" w:cs="Times New Roman"/>
                <w:caps w:val="0"/>
                <w:smallCaps w:val="0"/>
                <w:color w:val="auto"/>
                <w:spacing w:val="0"/>
                <w:w w:val="100"/>
                <w:kern w:val="0"/>
                <w:position w:val="0"/>
                <w:sz w:val="21"/>
                <w:szCs w:val="21"/>
                <w:highlight w:val="none"/>
                <w:lang w:val="en-US" w:eastAsia="zh-CN"/>
              </w:rPr>
              <w:t>类</w:t>
            </w:r>
          </w:p>
        </w:tc>
        <w:tc>
          <w:tcPr>
            <w:tcW w:w="1788"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ascii="Times New Roman" w:hAnsi="Times New Roman" w:eastAsia="宋体" w:cs="Times New Roman"/>
                <w:caps w:val="0"/>
                <w:smallCaps w:val="0"/>
                <w:color w:val="auto"/>
                <w:spacing w:val="0"/>
                <w:w w:val="100"/>
                <w:kern w:val="0"/>
                <w:position w:val="0"/>
                <w:sz w:val="21"/>
                <w:szCs w:val="21"/>
                <w:highlight w:val="none"/>
                <w:lang w:val="en-US" w:eastAsia="zh-CN"/>
              </w:rPr>
              <w:t>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ascii="Times New Roman" w:hAnsi="Times New Roman" w:eastAsia="宋体" w:cs="Times New Roman"/>
                <w:caps w:val="0"/>
                <w:smallCaps w:val="0"/>
                <w:color w:val="auto"/>
                <w:spacing w:val="0"/>
                <w:w w:val="100"/>
                <w:kern w:val="0"/>
                <w:position w:val="0"/>
                <w:sz w:val="21"/>
                <w:szCs w:val="21"/>
                <w:highlight w:val="none"/>
                <w:lang w:val="en-US" w:eastAsia="zh-CN"/>
              </w:rPr>
              <w:t>A</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p>
        </w:tc>
        <w:tc>
          <w:tcPr>
            <w:tcW w:w="3100"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65</w:t>
            </w:r>
          </w:p>
        </w:tc>
        <w:tc>
          <w:tcPr>
            <w:tcW w:w="2178"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55</w:t>
            </w:r>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09" w:name="_Toc29776"/>
      <w:r>
        <w:rPr>
          <w:rFonts w:hint="eastAsia" w:ascii="Times New Roman" w:hAnsi="Times New Roman" w:eastAsia="宋体" w:cs="Times New Roman"/>
          <w:b/>
          <w:bCs/>
          <w:color w:val="auto"/>
          <w:szCs w:val="20"/>
          <w:highlight w:val="none"/>
          <w:lang w:val="en-US" w:eastAsia="zh-CN" w:bidi="ar-SA"/>
        </w:rPr>
        <w:t>2.4.2.4</w:t>
      </w:r>
      <w:r>
        <w:rPr>
          <w:rFonts w:hint="eastAsia" w:ascii="Times New Roman" w:hAnsi="Times New Roman" w:eastAsia="宋体" w:cs="Times New Roman"/>
          <w:b/>
          <w:bCs/>
          <w:color w:val="auto"/>
          <w:szCs w:val="20"/>
          <w:highlight w:val="none"/>
          <w:lang w:val="en-US" w:bidi="ar-SA"/>
        </w:rPr>
        <w:t>土壤环境</w:t>
      </w:r>
      <w:bookmarkEnd w:id="109"/>
    </w:p>
    <w:p>
      <w:pPr>
        <w:bidi w:val="0"/>
        <w:ind w:firstLine="883"/>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本项目永久占地内土壤执行《土壤环境质量 建设用地土壤污染风险管控标准（试行）》（GB36600-2018）表1（基本项目）中第二类用地筛选值标准</w:t>
      </w:r>
      <w:r>
        <w:rPr>
          <w:rFonts w:hint="eastAsia" w:ascii="Times New Roman" w:hAnsi="Times New Roman" w:eastAsia="宋体" w:cs="Times New Roman"/>
          <w:color w:val="auto"/>
          <w:highlight w:val="none"/>
          <w:lang w:val="en-US" w:eastAsia="zh-CN"/>
        </w:rPr>
        <w:t>。</w:t>
      </w:r>
    </w:p>
    <w:p>
      <w:pPr>
        <w:bidi w:val="0"/>
        <w:ind w:firstLine="883"/>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具体见表</w:t>
      </w:r>
      <w:r>
        <w:rPr>
          <w:rFonts w:hint="eastAsia" w:ascii="Times New Roman" w:hAnsi="Times New Roman" w:eastAsia="宋体" w:cs="Times New Roman"/>
          <w:color w:val="auto"/>
          <w:highlight w:val="none"/>
          <w:lang w:val="en-US" w:eastAsia="zh-CN"/>
        </w:rPr>
        <w:t>2.4.2.4-1</w:t>
      </w:r>
      <w:r>
        <w:rPr>
          <w:rFonts w:hint="eastAsia" w:cs="Times New Roman"/>
          <w:color w:val="auto"/>
          <w:highlight w:val="none"/>
          <w:lang w:val="en-US" w:eastAsia="zh-CN"/>
        </w:rPr>
        <w:t>。</w:t>
      </w:r>
    </w:p>
    <w:p>
      <w:pPr>
        <w:bidi w:val="0"/>
        <w:ind w:firstLine="88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2.4.2.4-1</w:t>
      </w:r>
      <w:r>
        <w:rPr>
          <w:rFonts w:hint="default"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 xml:space="preserve">土壤环境执行标准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单位：mg/kg</w:t>
      </w:r>
    </w:p>
    <w:tbl>
      <w:tblPr>
        <w:tblStyle w:val="23"/>
        <w:tblW w:w="92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2892"/>
        <w:gridCol w:w="1918"/>
        <w:gridCol w:w="34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51" w:type="dxa"/>
            <w:vMerge w:val="restart"/>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序号</w:t>
            </w:r>
          </w:p>
        </w:tc>
        <w:tc>
          <w:tcPr>
            <w:tcW w:w="2892" w:type="dxa"/>
            <w:vMerge w:val="restart"/>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监测项目</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筛选值</w:t>
            </w:r>
          </w:p>
        </w:tc>
        <w:tc>
          <w:tcPr>
            <w:tcW w:w="3497" w:type="dxa"/>
            <w:vMerge w:val="restart"/>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标准名称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2892"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第二类用地</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As</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60</w:t>
            </w:r>
          </w:p>
        </w:tc>
        <w:tc>
          <w:tcPr>
            <w:tcW w:w="3497" w:type="dxa"/>
            <w:vMerge w:val="restart"/>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《土壤环境质量 建设用地土壤污染风险管控标准（试行）》（GB36600-2018）基本项目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Cd</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Cr（六价）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5.7</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Cu</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18000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Pb</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800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Hg</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7</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Ni</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900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8</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四氯化碳</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9</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氯仿</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0.9</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氯甲烷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37</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1,1-二氯乙烷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9</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1,2-二氯乙烷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13</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1,1-二氯乙烯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66</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14</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顺-1,2-二氯乙烯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596</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反-1,2-二氯乙烯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54</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16</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二氯甲烷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616</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17</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1,2-二氯丙烷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18</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1,1,1,2-四氯乙烷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19</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1,1,2,2-四氯乙烷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四氯乙烯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53</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21</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1,1,1-三氯乙烷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840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22</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1,1,2-三氯乙烷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23</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三氯乙烯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24</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1,2,3-三氯丙烷</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25</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0.43</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26</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27</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氯苯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270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28</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1,2-二氯苯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560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29</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1,4-二氯苯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30</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乙苯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28</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31</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苯乙烯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1290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32</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甲苯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1200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33</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间二甲苯+对二甲苯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570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34</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邻二甲苯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640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35</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硝基苯</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76</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36</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苯胺</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260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37</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2-氯酚</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2256</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38</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苯并［a］蒽</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39</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苯并［a］芘</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40</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苯并［b］荧蒽</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41</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苯并［k］荧蒽</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151</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42</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䓛</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1293</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43</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二苯并［a,h］蒽</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44</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茚并［1,2,3-cd］芘</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951"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45</w:t>
            </w:r>
          </w:p>
        </w:tc>
        <w:tc>
          <w:tcPr>
            <w:tcW w:w="2892"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萘</w:t>
            </w:r>
          </w:p>
        </w:tc>
        <w:tc>
          <w:tcPr>
            <w:tcW w:w="191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70</w:t>
            </w:r>
          </w:p>
        </w:tc>
        <w:tc>
          <w:tcPr>
            <w:tcW w:w="3497" w:type="dxa"/>
            <w:vMerge w:val="continue"/>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10" w:name="_Toc12332"/>
      <w:r>
        <w:rPr>
          <w:rFonts w:hint="eastAsia" w:ascii="Times New Roman" w:hAnsi="Times New Roman" w:eastAsia="宋体" w:cs="Times New Roman"/>
          <w:b/>
          <w:bCs/>
          <w:color w:val="auto"/>
          <w:szCs w:val="20"/>
          <w:highlight w:val="none"/>
          <w:lang w:val="en-US" w:bidi="ar-SA"/>
        </w:rPr>
        <w:t>2.</w:t>
      </w:r>
      <w:r>
        <w:rPr>
          <w:rFonts w:hint="eastAsia" w:ascii="Times New Roman" w:hAnsi="Times New Roman" w:eastAsia="宋体" w:cs="Times New Roman"/>
          <w:b/>
          <w:bCs/>
          <w:color w:val="auto"/>
          <w:szCs w:val="20"/>
          <w:highlight w:val="none"/>
          <w:lang w:val="en-US" w:eastAsia="zh-CN" w:bidi="ar-SA"/>
        </w:rPr>
        <w:t>4.2.5</w:t>
      </w:r>
      <w:r>
        <w:rPr>
          <w:rFonts w:hint="eastAsia" w:ascii="Times New Roman" w:hAnsi="Times New Roman" w:eastAsia="宋体" w:cs="Times New Roman"/>
          <w:b/>
          <w:bCs/>
          <w:color w:val="auto"/>
          <w:szCs w:val="20"/>
          <w:highlight w:val="none"/>
          <w:lang w:val="en-US" w:bidi="ar-SA"/>
        </w:rPr>
        <w:t>地下水</w:t>
      </w:r>
      <w:bookmarkEnd w:id="110"/>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本项目所在区域执行《地下水质量标准》</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GB/T14848-2017）中Ⅲ类标准，具体标准见表</w:t>
      </w:r>
      <w:r>
        <w:rPr>
          <w:rFonts w:hint="eastAsia" w:ascii="Times New Roman" w:hAnsi="Times New Roman" w:eastAsia="宋体" w:cs="Times New Roman"/>
          <w:color w:val="auto"/>
          <w:highlight w:val="none"/>
          <w:lang w:val="en-US" w:eastAsia="zh-CN"/>
        </w:rPr>
        <w:t>2.4.2.5-1</w:t>
      </w:r>
      <w:r>
        <w:rPr>
          <w:rFonts w:hint="default" w:ascii="Times New Roman" w:hAnsi="Times New Roman" w:eastAsia="宋体" w:cs="Times New Roman"/>
          <w:color w:val="auto"/>
          <w:highlight w:val="none"/>
          <w:lang w:val="en-US" w:eastAsia="zh-CN"/>
        </w:rPr>
        <w:t>。</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eastAsia" w:ascii="Times New Roman" w:hAnsi="Times New Roman" w:eastAsia="宋体" w:cs="Times New Roman"/>
          <w:color w:val="auto"/>
          <w:highlight w:val="none"/>
          <w:lang w:val="en-US" w:eastAsia="zh-CN"/>
        </w:rPr>
        <w:t>2.4.2.5-1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地下水质量执行标准一览表</w:t>
      </w:r>
    </w:p>
    <w:tbl>
      <w:tblPr>
        <w:tblStyle w:val="28"/>
        <w:tblW w:w="9098"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226"/>
        <w:gridCol w:w="3588"/>
        <w:gridCol w:w="1727"/>
        <w:gridCol w:w="255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序号</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标准项目</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单位</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标准限值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pH</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无量纲</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6.5-8.5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总硬度</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450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溶解性总固体</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4</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氨氮</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5</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硝酸盐氮</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6</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亚硝酸盐氮</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6"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7</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硫酸盐</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250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8</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挥发酚</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9</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耗氧量</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氰化物</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11</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氟化物</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12</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氯化物</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250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13</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总大肠菌群</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MPN/100mL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14</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菌落总数</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CFU/mL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15</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Fe</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16</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Mn</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17</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Pb</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18</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As</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19</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Cd</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Hg</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21</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六价铬</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0.05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0" w:hRule="atLeast"/>
        </w:trPr>
        <w:tc>
          <w:tcPr>
            <w:tcW w:w="1226"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22</w:t>
            </w:r>
          </w:p>
        </w:tc>
        <w:tc>
          <w:tcPr>
            <w:tcW w:w="3588"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钠</w:t>
            </w:r>
          </w:p>
        </w:tc>
        <w:tc>
          <w:tcPr>
            <w:tcW w:w="172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mg/L</w:t>
            </w:r>
          </w:p>
        </w:tc>
        <w:tc>
          <w:tcPr>
            <w:tcW w:w="2557"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200</w:t>
            </w: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color w:val="auto"/>
          <w:spacing w:val="0"/>
          <w:w w:val="99"/>
          <w:position w:val="0"/>
          <w:highlight w:val="none"/>
        </w:rPr>
      </w:pPr>
      <w:bookmarkStart w:id="111" w:name="_bookmark27"/>
      <w:bookmarkEnd w:id="111"/>
      <w:bookmarkStart w:id="112" w:name="_bookmark27"/>
      <w:bookmarkEnd w:id="112"/>
      <w:bookmarkStart w:id="113" w:name="_Toc8847"/>
      <w:r>
        <w:rPr>
          <w:rFonts w:hint="eastAsia" w:ascii="Times New Roman" w:hAnsi="Times New Roman" w:eastAsia="宋体" w:cs="Times New Roman"/>
          <w:color w:val="auto"/>
          <w:spacing w:val="0"/>
          <w:w w:val="99"/>
          <w:position w:val="0"/>
          <w:highlight w:val="none"/>
          <w:lang w:val="en-US" w:eastAsia="zh-CN"/>
        </w:rPr>
        <w:t>2.4.3</w:t>
      </w:r>
      <w:r>
        <w:rPr>
          <w:rFonts w:ascii="Times New Roman" w:hAnsi="Times New Roman" w:eastAsia="宋体" w:cs="Times New Roman"/>
          <w:color w:val="auto"/>
          <w:spacing w:val="0"/>
          <w:w w:val="99"/>
          <w:position w:val="0"/>
          <w:highlight w:val="none"/>
        </w:rPr>
        <w:t>污染物排放标准</w:t>
      </w:r>
      <w:bookmarkEnd w:id="113"/>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14" w:name="_Toc22065"/>
      <w:r>
        <w:rPr>
          <w:rFonts w:hint="eastAsia" w:ascii="Times New Roman" w:hAnsi="Times New Roman" w:eastAsia="宋体" w:cs="Times New Roman"/>
          <w:b/>
          <w:bCs/>
          <w:color w:val="auto"/>
          <w:szCs w:val="20"/>
          <w:highlight w:val="none"/>
          <w:lang w:val="en-US" w:eastAsia="zh-CN" w:bidi="ar-SA"/>
        </w:rPr>
        <w:t>2.4.3.1</w:t>
      </w:r>
      <w:r>
        <w:rPr>
          <w:rFonts w:hint="eastAsia" w:ascii="Times New Roman" w:hAnsi="Times New Roman" w:eastAsia="宋体" w:cs="Times New Roman"/>
          <w:b/>
          <w:bCs/>
          <w:color w:val="auto"/>
          <w:szCs w:val="20"/>
          <w:highlight w:val="none"/>
          <w:lang w:val="en-US" w:bidi="ar-SA"/>
        </w:rPr>
        <w:t>废水</w:t>
      </w:r>
      <w:bookmarkEnd w:id="114"/>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生产废水、锅炉排水均经污水处理站处理后全部循环使用，</w:t>
      </w:r>
      <w:r>
        <w:rPr>
          <w:rFonts w:hint="eastAsia" w:cs="Times New Roman"/>
          <w:color w:val="auto"/>
          <w:highlight w:val="none"/>
          <w:lang w:val="en-US" w:eastAsia="zh-CN"/>
        </w:rPr>
        <w:t>生活污水</w:t>
      </w:r>
      <w:r>
        <w:rPr>
          <w:rFonts w:hint="eastAsia" w:cs="Times New Roman"/>
          <w:color w:val="auto"/>
          <w:highlight w:val="none"/>
          <w:lang w:val="zh-CN" w:eastAsia="zh-CN"/>
        </w:rPr>
        <w:t>采取防渗旱厕回收还田，</w:t>
      </w:r>
      <w:r>
        <w:rPr>
          <w:rFonts w:hint="default" w:ascii="Times New Roman" w:hAnsi="Times New Roman" w:eastAsia="宋体" w:cs="Times New Roman"/>
          <w:color w:val="auto"/>
          <w:highlight w:val="none"/>
          <w:lang w:val="en-US" w:eastAsia="zh-CN"/>
        </w:rPr>
        <w:t>不外排。</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15" w:name="_Toc25820"/>
      <w:r>
        <w:rPr>
          <w:rFonts w:hint="eastAsia" w:ascii="Times New Roman" w:hAnsi="Times New Roman" w:eastAsia="宋体" w:cs="Times New Roman"/>
          <w:b/>
          <w:bCs/>
          <w:color w:val="auto"/>
          <w:szCs w:val="20"/>
          <w:highlight w:val="none"/>
          <w:lang w:val="en-US" w:eastAsia="zh-CN" w:bidi="ar-SA"/>
        </w:rPr>
        <w:t>2.4.3.2</w:t>
      </w:r>
      <w:r>
        <w:rPr>
          <w:rFonts w:hint="eastAsia" w:ascii="Times New Roman" w:hAnsi="Times New Roman" w:eastAsia="宋体" w:cs="Times New Roman"/>
          <w:b/>
          <w:bCs/>
          <w:color w:val="auto"/>
          <w:szCs w:val="20"/>
          <w:highlight w:val="none"/>
          <w:lang w:val="en-US" w:bidi="ar-SA"/>
        </w:rPr>
        <w:t>废气</w:t>
      </w:r>
      <w:bookmarkEnd w:id="115"/>
    </w:p>
    <w:p>
      <w:pPr>
        <w:bidi w:val="0"/>
        <w:ind w:firstLine="883"/>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生物质</w:t>
      </w:r>
      <w:r>
        <w:rPr>
          <w:rFonts w:hint="default" w:ascii="Times New Roman" w:hAnsi="Times New Roman" w:eastAsia="宋体" w:cs="Times New Roman"/>
          <w:color w:val="auto"/>
          <w:highlight w:val="none"/>
          <w:lang w:val="en-US" w:eastAsia="zh-CN"/>
        </w:rPr>
        <w:t>锅炉产生大气污染物经</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5m高烟囱排放，污染物排放浓度</w:t>
      </w:r>
      <w:r>
        <w:rPr>
          <w:rFonts w:hint="eastAsia" w:cs="Times New Roman"/>
          <w:color w:val="auto"/>
          <w:highlight w:val="none"/>
          <w:lang w:val="en-US" w:eastAsia="zh-CN"/>
        </w:rPr>
        <w:t>（参照燃煤锅炉）</w:t>
      </w:r>
      <w:r>
        <w:rPr>
          <w:rFonts w:hint="default" w:ascii="Times New Roman" w:hAnsi="Times New Roman" w:eastAsia="宋体" w:cs="Times New Roman"/>
          <w:color w:val="auto"/>
          <w:highlight w:val="none"/>
          <w:lang w:val="en-US" w:eastAsia="zh-CN"/>
        </w:rPr>
        <w:t>能够满足《锅炉大气污染物排放标准》</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GB13271-2014）中的表</w:t>
      </w:r>
      <w:r>
        <w:rPr>
          <w:rFonts w:hint="eastAsia" w:cs="Times New Roman"/>
          <w:color w:val="auto"/>
          <w:highlight w:val="none"/>
          <w:lang w:val="en-US" w:eastAsia="zh-CN"/>
        </w:rPr>
        <w:t>2新建</w:t>
      </w:r>
      <w:r>
        <w:rPr>
          <w:rFonts w:hint="default" w:ascii="Times New Roman" w:hAnsi="Times New Roman" w:eastAsia="宋体" w:cs="Times New Roman"/>
          <w:color w:val="auto"/>
          <w:highlight w:val="none"/>
          <w:lang w:val="en-US" w:eastAsia="zh-CN"/>
        </w:rPr>
        <w:t>锅炉大气标准要求。标准值见表</w:t>
      </w:r>
      <w:r>
        <w:rPr>
          <w:rFonts w:hint="eastAsia" w:ascii="Times New Roman" w:hAnsi="Times New Roman" w:eastAsia="宋体" w:cs="Times New Roman"/>
          <w:color w:val="auto"/>
          <w:highlight w:val="none"/>
          <w:lang w:val="en-US" w:eastAsia="zh-CN"/>
        </w:rPr>
        <w:t>2.4.3.2-1</w:t>
      </w:r>
      <w:r>
        <w:rPr>
          <w:rFonts w:hint="default" w:ascii="Times New Roman" w:hAnsi="Times New Roman" w:eastAsia="宋体" w:cs="Times New Roman"/>
          <w:color w:val="auto"/>
          <w:highlight w:val="none"/>
          <w:lang w:val="en-US" w:eastAsia="zh-CN"/>
        </w:rPr>
        <w:t>。</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eastAsia" w:ascii="Times New Roman" w:hAnsi="Times New Roman" w:eastAsia="宋体" w:cs="Times New Roman"/>
          <w:color w:val="auto"/>
          <w:highlight w:val="none"/>
          <w:lang w:val="en-US" w:eastAsia="zh-CN"/>
        </w:rPr>
        <w:t>2.4.3.2-1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 xml:space="preserve">锅炉大气污染物排放浓度限值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 xml:space="preserve"> 单位：mg/m</w:t>
      </w:r>
      <w:r>
        <w:rPr>
          <w:rFonts w:hint="default" w:ascii="Times New Roman" w:hAnsi="Times New Roman" w:eastAsia="宋体" w:cs="Times New Roman"/>
          <w:color w:val="auto"/>
          <w:highlight w:val="none"/>
          <w:vertAlign w:val="superscript"/>
          <w:lang w:val="en-US" w:eastAsia="zh-CN"/>
        </w:rPr>
        <w:t>3</w:t>
      </w:r>
    </w:p>
    <w:tbl>
      <w:tblPr>
        <w:tblStyle w:val="23"/>
        <w:tblW w:w="93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844"/>
        <w:gridCol w:w="1145"/>
        <w:gridCol w:w="1172"/>
        <w:gridCol w:w="1253"/>
        <w:gridCol w:w="1341"/>
        <w:gridCol w:w="24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68" w:hRule="atLeast"/>
          <w:jc w:val="center"/>
        </w:trPr>
        <w:tc>
          <w:tcPr>
            <w:tcW w:w="1129"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产污环节</w:t>
            </w:r>
          </w:p>
        </w:tc>
        <w:tc>
          <w:tcPr>
            <w:tcW w:w="844"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颗粒物</w:t>
            </w:r>
          </w:p>
        </w:tc>
        <w:tc>
          <w:tcPr>
            <w:tcW w:w="1145"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二氧化硫</w:t>
            </w:r>
          </w:p>
        </w:tc>
        <w:tc>
          <w:tcPr>
            <w:tcW w:w="1172"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氮氧化物</w:t>
            </w:r>
          </w:p>
        </w:tc>
        <w:tc>
          <w:tcPr>
            <w:tcW w:w="125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汞及化合物</w:t>
            </w:r>
          </w:p>
        </w:tc>
        <w:tc>
          <w:tcPr>
            <w:tcW w:w="134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烟气黑度（林格曼黑度）</w:t>
            </w:r>
          </w:p>
        </w:tc>
        <w:tc>
          <w:tcPr>
            <w:tcW w:w="24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1129"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left="0" w:leftChars="0" w:right="0" w:rightChars="0" w:firstLine="0" w:firstLineChars="0"/>
              <w:jc w:val="center"/>
              <w:textAlignment w:val="auto"/>
              <w:rPr>
                <w:rFonts w:hint="eastAsia"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锅炉烟囱</w:t>
            </w:r>
          </w:p>
        </w:tc>
        <w:tc>
          <w:tcPr>
            <w:tcW w:w="844"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bidi="zh-CN"/>
              </w:rPr>
            </w:pPr>
            <w:r>
              <w:rPr>
                <w:rFonts w:hint="eastAsia" w:cs="Times New Roman"/>
                <w:caps w:val="0"/>
                <w:smallCaps w:val="0"/>
                <w:color w:val="auto"/>
                <w:spacing w:val="0"/>
                <w:w w:val="100"/>
                <w:kern w:val="0"/>
                <w:position w:val="0"/>
                <w:sz w:val="21"/>
                <w:szCs w:val="21"/>
                <w:highlight w:val="none"/>
                <w:lang w:val="en-US" w:eastAsia="zh-CN"/>
              </w:rPr>
              <w:t>5</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0</w:t>
            </w:r>
          </w:p>
        </w:tc>
        <w:tc>
          <w:tcPr>
            <w:tcW w:w="1145"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bidi="zh-CN"/>
              </w:rPr>
            </w:pPr>
            <w:r>
              <w:rPr>
                <w:rFonts w:hint="eastAsia" w:cs="Times New Roman"/>
                <w:caps w:val="0"/>
                <w:smallCaps w:val="0"/>
                <w:color w:val="auto"/>
                <w:spacing w:val="0"/>
                <w:w w:val="100"/>
                <w:kern w:val="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00</w:t>
            </w:r>
          </w:p>
        </w:tc>
        <w:tc>
          <w:tcPr>
            <w:tcW w:w="1172"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bidi="zh-CN"/>
              </w:rPr>
            </w:pPr>
            <w:r>
              <w:rPr>
                <w:rFonts w:hint="eastAsia" w:cs="Times New Roman"/>
                <w:caps w:val="0"/>
                <w:smallCaps w:val="0"/>
                <w:color w:val="auto"/>
                <w:spacing w:val="0"/>
                <w:w w:val="100"/>
                <w:kern w:val="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00</w:t>
            </w:r>
          </w:p>
        </w:tc>
        <w:tc>
          <w:tcPr>
            <w:tcW w:w="125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0.05</w:t>
            </w:r>
          </w:p>
        </w:tc>
        <w:tc>
          <w:tcPr>
            <w:tcW w:w="1341"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ascii="微软雅黑" w:hAnsi="微软雅黑" w:eastAsia="微软雅黑" w:cs="微软雅黑"/>
                <w:caps w:val="0"/>
                <w:smallCaps w:val="0"/>
                <w:color w:val="auto"/>
                <w:spacing w:val="0"/>
                <w:w w:val="100"/>
                <w:kern w:val="0"/>
                <w:position w:val="0"/>
                <w:sz w:val="21"/>
                <w:szCs w:val="21"/>
                <w:highlight w:val="none"/>
                <w:lang w:val="en-US" w:eastAsia="zh-CN"/>
              </w:rPr>
              <w:t>≤</w:t>
            </w:r>
            <w:r>
              <w:rPr>
                <w:rFonts w:hint="eastAsia" w:cs="Times New Roman"/>
                <w:caps w:val="0"/>
                <w:smallCaps w:val="0"/>
                <w:color w:val="auto"/>
                <w:spacing w:val="0"/>
                <w:w w:val="100"/>
                <w:kern w:val="0"/>
                <w:position w:val="0"/>
                <w:sz w:val="21"/>
                <w:szCs w:val="21"/>
                <w:highlight w:val="none"/>
                <w:lang w:val="en-US" w:eastAsia="zh-CN"/>
              </w:rPr>
              <w:t>1</w:t>
            </w:r>
          </w:p>
        </w:tc>
        <w:tc>
          <w:tcPr>
            <w:tcW w:w="2473"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微软雅黑" w:hAnsi="微软雅黑" w:eastAsia="微软雅黑" w:cs="微软雅黑"/>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《锅炉大气污染物排放标准》</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GB13271-2014）中的表</w:t>
            </w:r>
            <w:r>
              <w:rPr>
                <w:rFonts w:hint="eastAsia" w:cs="Times New Roman"/>
                <w:caps w:val="0"/>
                <w:smallCaps w:val="0"/>
                <w:color w:val="auto"/>
                <w:spacing w:val="0"/>
                <w:w w:val="100"/>
                <w:kern w:val="0"/>
                <w:position w:val="0"/>
                <w:sz w:val="21"/>
                <w:szCs w:val="21"/>
                <w:highlight w:val="none"/>
                <w:lang w:val="en-US" w:eastAsia="zh-CN"/>
              </w:rPr>
              <w:t>2新建</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锅炉大气标准要求标准</w:t>
            </w:r>
          </w:p>
        </w:tc>
      </w:tr>
    </w:tbl>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恶臭污染物标准执行《恶臭污染物排放标准》</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GB14554-93）表1中无组织排放二级标准要求</w:t>
      </w:r>
      <w:r>
        <w:rPr>
          <w:rFonts w:hint="eastAsia" w:cs="Times New Roman"/>
          <w:color w:val="auto"/>
          <w:highlight w:val="none"/>
          <w:lang w:val="en-US" w:eastAsia="zh-CN"/>
        </w:rPr>
        <w:t>及表2有组织排放执行15米高排气筒排放要求</w:t>
      </w:r>
      <w:r>
        <w:rPr>
          <w:rFonts w:hint="default" w:ascii="Times New Roman" w:hAnsi="Times New Roman" w:eastAsia="宋体" w:cs="Times New Roman"/>
          <w:color w:val="auto"/>
          <w:highlight w:val="none"/>
          <w:lang w:val="en-US" w:eastAsia="zh-CN"/>
        </w:rPr>
        <w:t>，详见表</w:t>
      </w:r>
      <w:r>
        <w:rPr>
          <w:rFonts w:hint="eastAsia" w:ascii="Times New Roman" w:hAnsi="Times New Roman" w:eastAsia="宋体" w:cs="Times New Roman"/>
          <w:color w:val="auto"/>
          <w:highlight w:val="none"/>
          <w:lang w:val="en-US" w:eastAsia="zh-CN"/>
        </w:rPr>
        <w:t>2.4.3.2-2</w:t>
      </w:r>
      <w:r>
        <w:rPr>
          <w:rFonts w:hint="eastAsia" w:cs="Times New Roman"/>
          <w:color w:val="auto"/>
          <w:highlight w:val="none"/>
          <w:lang w:val="en-US" w:eastAsia="zh-CN"/>
        </w:rPr>
        <w:t>及表2.4.3.2-3</w:t>
      </w:r>
      <w:r>
        <w:rPr>
          <w:rFonts w:hint="default" w:ascii="Times New Roman" w:hAnsi="Times New Roman" w:eastAsia="宋体" w:cs="Times New Roman"/>
          <w:color w:val="auto"/>
          <w:highlight w:val="none"/>
          <w:lang w:val="en-US" w:eastAsia="zh-CN"/>
        </w:rPr>
        <w:t>。</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eastAsia" w:ascii="Times New Roman" w:hAnsi="Times New Roman" w:eastAsia="宋体" w:cs="Times New Roman"/>
          <w:color w:val="auto"/>
          <w:highlight w:val="none"/>
          <w:lang w:val="en-US" w:eastAsia="zh-CN"/>
        </w:rPr>
        <w:t>2.4.3.2-2</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恶臭污染物厂界标准</w:t>
      </w:r>
    </w:p>
    <w:tbl>
      <w:tblPr>
        <w:tblStyle w:val="23"/>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3"/>
        <w:gridCol w:w="3127"/>
        <w:gridCol w:w="3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3123" w:type="dxa"/>
            <w:tcBorders>
              <w:top w:val="single" w:color="auto" w:sz="12" w:space="0"/>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控制项目</w:t>
            </w:r>
          </w:p>
        </w:tc>
        <w:tc>
          <w:tcPr>
            <w:tcW w:w="3127" w:type="dxa"/>
            <w:tcBorders>
              <w:top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单位</w:t>
            </w:r>
          </w:p>
        </w:tc>
        <w:tc>
          <w:tcPr>
            <w:tcW w:w="3128" w:type="dxa"/>
            <w:tcBorders>
              <w:top w:val="single" w:color="auto" w:sz="12" w:space="0"/>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二级标准</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eastAsia" w:cs="Times New Roman"/>
                <w:caps w:val="0"/>
                <w:smallCaps w:val="0"/>
                <w:color w:val="auto"/>
                <w:spacing w:val="0"/>
                <w:w w:val="100"/>
                <w:kern w:val="0"/>
                <w:position w:val="0"/>
                <w:sz w:val="21"/>
                <w:szCs w:val="21"/>
                <w:highlight w:val="none"/>
                <w:lang w:val="en-US" w:eastAsia="zh-CN"/>
              </w:rPr>
              <w:t>现有</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123" w:type="dxa"/>
            <w:tcBorders>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氨</w:t>
            </w:r>
          </w:p>
        </w:tc>
        <w:tc>
          <w:tcPr>
            <w:tcW w:w="3127"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mg/m</w:t>
            </w:r>
            <w:r>
              <w:rPr>
                <w:rFonts w:hint="default" w:ascii="Times New Roman" w:hAnsi="Times New Roman" w:eastAsia="宋体" w:cs="Times New Roman"/>
                <w:caps w:val="0"/>
                <w:smallCaps w:val="0"/>
                <w:color w:val="auto"/>
                <w:spacing w:val="0"/>
                <w:w w:val="100"/>
                <w:kern w:val="0"/>
                <w:position w:val="0"/>
                <w:sz w:val="21"/>
                <w:szCs w:val="21"/>
                <w:highlight w:val="none"/>
                <w:vertAlign w:val="superscript"/>
                <w:lang w:val="en-US" w:eastAsia="zh-CN"/>
              </w:rPr>
              <w:t>3</w:t>
            </w:r>
          </w:p>
        </w:tc>
        <w:tc>
          <w:tcPr>
            <w:tcW w:w="3128" w:type="dxa"/>
            <w:tcBorders>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123" w:type="dxa"/>
            <w:tcBorders>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硫化氢</w:t>
            </w:r>
          </w:p>
        </w:tc>
        <w:tc>
          <w:tcPr>
            <w:tcW w:w="3127"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mg/m</w:t>
            </w:r>
            <w:r>
              <w:rPr>
                <w:rFonts w:hint="default" w:ascii="Times New Roman" w:hAnsi="Times New Roman" w:eastAsia="宋体" w:cs="Times New Roman"/>
                <w:caps w:val="0"/>
                <w:smallCaps w:val="0"/>
                <w:color w:val="auto"/>
                <w:spacing w:val="0"/>
                <w:w w:val="100"/>
                <w:kern w:val="0"/>
                <w:position w:val="0"/>
                <w:sz w:val="21"/>
                <w:szCs w:val="21"/>
                <w:highlight w:val="none"/>
                <w:vertAlign w:val="superscript"/>
                <w:lang w:val="en-US" w:eastAsia="zh-CN"/>
              </w:rPr>
              <w:t>3</w:t>
            </w:r>
          </w:p>
        </w:tc>
        <w:tc>
          <w:tcPr>
            <w:tcW w:w="3128" w:type="dxa"/>
            <w:tcBorders>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3123" w:type="dxa"/>
            <w:tcBorders>
              <w:left w:val="nil"/>
              <w:bottom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臭气浓度</w:t>
            </w:r>
          </w:p>
        </w:tc>
        <w:tc>
          <w:tcPr>
            <w:tcW w:w="3127" w:type="dxa"/>
            <w:tcBorders>
              <w:bottom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无量纲</w:t>
            </w:r>
          </w:p>
        </w:tc>
        <w:tc>
          <w:tcPr>
            <w:tcW w:w="3128" w:type="dxa"/>
            <w:tcBorders>
              <w:bottom w:val="single" w:color="auto" w:sz="12" w:space="0"/>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30</w:t>
            </w:r>
          </w:p>
        </w:tc>
      </w:tr>
    </w:tbl>
    <w:p>
      <w:pPr>
        <w:keepNext/>
        <w:keepLines/>
        <w:pageBreakBefore w:val="0"/>
        <w:widowControl w:val="0"/>
        <w:numPr>
          <w:ilvl w:val="0"/>
          <w:numId w:val="0"/>
        </w:numPr>
        <w:kinsoku/>
        <w:wordWrap/>
        <w:overflowPunct/>
        <w:topLinePunct w:val="0"/>
        <w:autoSpaceDE/>
        <w:autoSpaceDN/>
        <w:bidi w:val="0"/>
        <w:adjustRightInd/>
        <w:snapToGrid/>
        <w:spacing w:before="0" w:after="0"/>
        <w:ind w:left="0" w:right="0" w:firstLine="480" w:firstLineChars="200"/>
        <w:jc w:val="both"/>
        <w:textAlignment w:val="auto"/>
        <w:outlineLvl w:val="9"/>
        <w:rPr>
          <w:rFonts w:hint="default" w:ascii="Times New Roman" w:hAnsi="Times New Roman" w:eastAsia="宋体" w:cs="Times New Roman"/>
          <w:b w:val="0"/>
          <w:bCs/>
          <w:color w:val="auto"/>
          <w:sz w:val="24"/>
          <w:szCs w:val="20"/>
          <w:highlight w:val="none"/>
          <w:lang w:val="en-US" w:eastAsia="zh-CN" w:bidi="ar-SA"/>
        </w:rPr>
      </w:pPr>
      <w:r>
        <w:rPr>
          <w:rFonts w:hint="eastAsia" w:ascii="Times New Roman" w:hAnsi="Times New Roman" w:cs="Times New Roman"/>
          <w:b w:val="0"/>
          <w:bCs/>
          <w:color w:val="auto"/>
          <w:sz w:val="24"/>
          <w:szCs w:val="20"/>
          <w:highlight w:val="none"/>
          <w:lang w:val="en-US" w:eastAsia="zh-CN" w:bidi="ar-SA"/>
        </w:rPr>
        <w:t>表2.4.3.2-3               恶臭污染物15米高排气筒排放标准</w:t>
      </w:r>
    </w:p>
    <w:tbl>
      <w:tblPr>
        <w:tblStyle w:val="23"/>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3"/>
        <w:gridCol w:w="3127"/>
        <w:gridCol w:w="3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3123" w:type="dxa"/>
            <w:tcBorders>
              <w:top w:val="single" w:color="auto" w:sz="12" w:space="0"/>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控制项目</w:t>
            </w:r>
          </w:p>
        </w:tc>
        <w:tc>
          <w:tcPr>
            <w:tcW w:w="3127" w:type="dxa"/>
            <w:tcBorders>
              <w:top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单位</w:t>
            </w:r>
          </w:p>
        </w:tc>
        <w:tc>
          <w:tcPr>
            <w:tcW w:w="3128" w:type="dxa"/>
            <w:tcBorders>
              <w:top w:val="single" w:color="auto" w:sz="12" w:space="0"/>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15米高排气筒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3123" w:type="dxa"/>
            <w:tcBorders>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氨</w:t>
            </w:r>
          </w:p>
        </w:tc>
        <w:tc>
          <w:tcPr>
            <w:tcW w:w="3127"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kg/h</w:t>
            </w:r>
          </w:p>
        </w:tc>
        <w:tc>
          <w:tcPr>
            <w:tcW w:w="3128" w:type="dxa"/>
            <w:tcBorders>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3123" w:type="dxa"/>
            <w:tcBorders>
              <w:lef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硫化氢</w:t>
            </w:r>
          </w:p>
        </w:tc>
        <w:tc>
          <w:tcPr>
            <w:tcW w:w="3127" w:type="dxa"/>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kg/h</w:t>
            </w:r>
          </w:p>
        </w:tc>
        <w:tc>
          <w:tcPr>
            <w:tcW w:w="3128" w:type="dxa"/>
            <w:tcBorders>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3123" w:type="dxa"/>
            <w:tcBorders>
              <w:left w:val="nil"/>
              <w:bottom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臭气浓度</w:t>
            </w:r>
          </w:p>
        </w:tc>
        <w:tc>
          <w:tcPr>
            <w:tcW w:w="3127" w:type="dxa"/>
            <w:tcBorders>
              <w:bottom w:val="single" w:color="auto" w:sz="12" w:space="0"/>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无量纲</w:t>
            </w:r>
          </w:p>
        </w:tc>
        <w:tc>
          <w:tcPr>
            <w:tcW w:w="3128" w:type="dxa"/>
            <w:tcBorders>
              <w:bottom w:val="single" w:color="auto" w:sz="12" w:space="0"/>
              <w:right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20</w:t>
            </w:r>
            <w:r>
              <w:rPr>
                <w:rFonts w:hint="eastAsia" w:cs="Times New Roman"/>
                <w:caps w:val="0"/>
                <w:smallCaps w:val="0"/>
                <w:color w:val="auto"/>
                <w:spacing w:val="0"/>
                <w:w w:val="100"/>
                <w:kern w:val="0"/>
                <w:position w:val="0"/>
                <w:sz w:val="21"/>
                <w:szCs w:val="21"/>
                <w:highlight w:val="none"/>
                <w:lang w:val="en-US" w:eastAsia="zh-CN"/>
              </w:rPr>
              <w:t>00</w:t>
            </w:r>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16" w:name="_Toc7764"/>
      <w:r>
        <w:rPr>
          <w:rFonts w:hint="eastAsia" w:ascii="Times New Roman" w:hAnsi="Times New Roman" w:eastAsia="宋体" w:cs="Times New Roman"/>
          <w:b/>
          <w:bCs/>
          <w:color w:val="auto"/>
          <w:szCs w:val="20"/>
          <w:highlight w:val="none"/>
          <w:lang w:val="en-US" w:eastAsia="zh-CN" w:bidi="ar-SA"/>
        </w:rPr>
        <w:t>2.4.3.3</w:t>
      </w:r>
      <w:r>
        <w:rPr>
          <w:rFonts w:hint="eastAsia" w:ascii="Times New Roman" w:hAnsi="Times New Roman" w:eastAsia="宋体" w:cs="Times New Roman"/>
          <w:b/>
          <w:bCs/>
          <w:color w:val="auto"/>
          <w:szCs w:val="20"/>
          <w:highlight w:val="none"/>
          <w:lang w:val="en-US" w:bidi="ar-SA"/>
        </w:rPr>
        <w:t>厂界噪声</w:t>
      </w:r>
      <w:bookmarkEnd w:id="116"/>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施工期场界噪声执行《建筑施工场界环境噪声排放标准》</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GB12523-2011）</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厂界噪声执行《工业企业厂界环境噪声排放标准》</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GB12348-2008）表1中</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类标准。</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eastAsia" w:ascii="Times New Roman" w:hAnsi="Times New Roman" w:eastAsia="宋体" w:cs="Times New Roman"/>
          <w:color w:val="auto"/>
          <w:highlight w:val="none"/>
          <w:lang w:val="en-US" w:eastAsia="zh-CN"/>
        </w:rPr>
        <w:t>2.4.3.3-1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噪声排放标准</w:t>
      </w:r>
    </w:p>
    <w:tbl>
      <w:tblPr>
        <w:tblStyle w:val="24"/>
        <w:tblW w:w="96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5"/>
        <w:gridCol w:w="5509"/>
        <w:gridCol w:w="31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975"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17" w:name="_Toc6529"/>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时期</w:t>
            </w:r>
            <w:bookmarkEnd w:id="117"/>
          </w:p>
        </w:tc>
        <w:tc>
          <w:tcPr>
            <w:tcW w:w="5509"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18" w:name="_Toc5068"/>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标准</w:t>
            </w:r>
            <w:bookmarkEnd w:id="118"/>
          </w:p>
        </w:tc>
        <w:tc>
          <w:tcPr>
            <w:tcW w:w="3134"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19" w:name="_Toc13271"/>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噪声限值/dB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w:t>
            </w:r>
            <w:bookmarkEnd w:id="11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975"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20" w:name="_Toc19614"/>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施工期</w:t>
            </w:r>
            <w:bookmarkEnd w:id="120"/>
          </w:p>
        </w:tc>
        <w:tc>
          <w:tcPr>
            <w:tcW w:w="5509"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《建筑施工场界环境噪声排放标准》</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GB12523-2011）</w:t>
            </w:r>
          </w:p>
        </w:tc>
        <w:tc>
          <w:tcPr>
            <w:tcW w:w="3134"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21" w:name="_Toc26244"/>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昼间70dB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A）夜间55dB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w:t>
            </w:r>
            <w:bookmarkEnd w:id="12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975"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22" w:name="_Toc16208"/>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运营期</w:t>
            </w:r>
            <w:bookmarkEnd w:id="122"/>
          </w:p>
        </w:tc>
        <w:tc>
          <w:tcPr>
            <w:tcW w:w="5509"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23" w:name="_Toc2017"/>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《工业企业厂界环境噪声排放标准》</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GB12348-2008）表1中</w:t>
            </w:r>
            <w:r>
              <w:rPr>
                <w:rFonts w:hint="eastAsia" w:cs="Times New Roman"/>
                <w:caps w:val="0"/>
                <w:smallCaps w:val="0"/>
                <w:color w:val="auto"/>
                <w:spacing w:val="0"/>
                <w:w w:val="100"/>
                <w:kern w:val="0"/>
                <w:position w:val="0"/>
                <w:sz w:val="21"/>
                <w:szCs w:val="21"/>
                <w:highlight w:val="none"/>
                <w:lang w:val="en-US" w:eastAsia="zh-CN"/>
              </w:rPr>
              <w:t>3</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类标准</w:t>
            </w:r>
            <w:bookmarkEnd w:id="123"/>
          </w:p>
        </w:tc>
        <w:tc>
          <w:tcPr>
            <w:tcW w:w="3134" w:type="dxa"/>
            <w:tcBorders>
              <w:tl2br w:val="nil"/>
              <w:tr2bl w:val="nil"/>
            </w:tcBorders>
            <w:vAlign w:val="center"/>
          </w:tcPr>
          <w:p>
            <w:pPr>
              <w:pStyle w:val="29"/>
              <w:keepNext w:val="0"/>
              <w:keepLines w:val="0"/>
              <w:pageBreakBefore w:val="0"/>
              <w:widowControl w:val="0"/>
              <w:kinsoku/>
              <w:wordWrap/>
              <w:overflowPunct/>
              <w:topLinePunct w:val="0"/>
              <w:autoSpaceDN/>
              <w:bidi w:val="0"/>
              <w:adjustRightInd/>
              <w:snapToGrid/>
              <w:spacing w:beforeLines="0" w:afterLines="0"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bookmarkStart w:id="124" w:name="_Toc8707"/>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昼间6</w:t>
            </w:r>
            <w:r>
              <w:rPr>
                <w:rFonts w:hint="eastAsia" w:cs="Times New Roman"/>
                <w:caps w:val="0"/>
                <w:smallCaps w:val="0"/>
                <w:color w:val="auto"/>
                <w:spacing w:val="0"/>
                <w:w w:val="100"/>
                <w:kern w:val="0"/>
                <w:position w:val="0"/>
                <w:sz w:val="21"/>
                <w:szCs w:val="21"/>
                <w:highlight w:val="none"/>
                <w:lang w:val="en-US" w:eastAsia="zh-CN"/>
              </w:rPr>
              <w:t>5</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A）夜间5</w:t>
            </w:r>
            <w:r>
              <w:rPr>
                <w:rFonts w:hint="eastAsia" w:cs="Times New Roman"/>
                <w:caps w:val="0"/>
                <w:smallCaps w:val="0"/>
                <w:color w:val="auto"/>
                <w:spacing w:val="0"/>
                <w:w w:val="100"/>
                <w:kern w:val="0"/>
                <w:position w:val="0"/>
                <w:sz w:val="21"/>
                <w:szCs w:val="21"/>
                <w:highlight w:val="none"/>
                <w:lang w:val="en-US" w:eastAsia="zh-CN"/>
              </w:rPr>
              <w:t>5</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dB</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t>A）</w:t>
            </w:r>
            <w:bookmarkEnd w:id="124"/>
          </w:p>
        </w:tc>
      </w:tr>
    </w:tbl>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25" w:name="_Toc23284"/>
      <w:r>
        <w:rPr>
          <w:rFonts w:hint="eastAsia" w:ascii="Times New Roman" w:hAnsi="Times New Roman" w:eastAsia="宋体" w:cs="Times New Roman"/>
          <w:b/>
          <w:bCs/>
          <w:color w:val="auto"/>
          <w:szCs w:val="20"/>
          <w:highlight w:val="none"/>
          <w:lang w:val="en-US" w:eastAsia="zh-CN" w:bidi="ar-SA"/>
        </w:rPr>
        <w:t>2.4.3.4</w:t>
      </w:r>
      <w:r>
        <w:rPr>
          <w:rFonts w:hint="eastAsia" w:ascii="Times New Roman" w:hAnsi="Times New Roman" w:eastAsia="宋体" w:cs="Times New Roman"/>
          <w:b/>
          <w:bCs/>
          <w:color w:val="auto"/>
          <w:szCs w:val="20"/>
          <w:highlight w:val="none"/>
          <w:lang w:val="en-US" w:bidi="ar-SA"/>
        </w:rPr>
        <w:t>固体废物</w:t>
      </w:r>
      <w:bookmarkEnd w:id="125"/>
    </w:p>
    <w:p>
      <w:pPr>
        <w:bidi w:val="0"/>
        <w:rPr>
          <w:rFonts w:hint="default"/>
          <w:color w:val="auto"/>
          <w:highlight w:val="none"/>
          <w:lang w:val="en-US" w:eastAsia="zh-CN"/>
        </w:rPr>
      </w:pPr>
      <w:r>
        <w:rPr>
          <w:rFonts w:hint="default"/>
          <w:color w:val="auto"/>
          <w:highlight w:val="none"/>
          <w:lang w:val="en-US" w:eastAsia="zh-CN"/>
        </w:rPr>
        <w:t>一般固废执行《一般工业固体废物贮存和填埋污染控制标准》</w:t>
      </w:r>
      <w:r>
        <w:rPr>
          <w:rFonts w:hint="eastAsia"/>
          <w:color w:val="auto"/>
          <w:highlight w:val="none"/>
          <w:lang w:val="en-US" w:eastAsia="zh-CN"/>
        </w:rPr>
        <w:t>（</w:t>
      </w:r>
      <w:r>
        <w:rPr>
          <w:rFonts w:hint="default"/>
          <w:color w:val="auto"/>
          <w:highlight w:val="none"/>
          <w:lang w:val="en-US" w:eastAsia="zh-CN"/>
        </w:rPr>
        <w:t>GB18599-2020）的有关规。</w:t>
      </w:r>
    </w:p>
    <w:p>
      <w:pPr>
        <w:bidi w:val="0"/>
        <w:rPr>
          <w:color w:val="auto"/>
          <w:highlight w:val="none"/>
        </w:rPr>
      </w:pPr>
      <w:r>
        <w:rPr>
          <w:rFonts w:hint="default"/>
          <w:color w:val="auto"/>
          <w:highlight w:val="none"/>
        </w:rPr>
        <w:t>危险废物贮存执行《</w:t>
      </w:r>
      <w:r>
        <w:rPr>
          <w:rFonts w:hint="default"/>
          <w:color w:val="auto"/>
          <w:highlight w:val="none"/>
          <w:lang w:val="en-US" w:eastAsia="zh-CN"/>
        </w:rPr>
        <w:t>危险废物贮存污染控制标准》</w:t>
      </w:r>
      <w:r>
        <w:rPr>
          <w:rFonts w:hint="eastAsia"/>
          <w:color w:val="auto"/>
          <w:highlight w:val="none"/>
          <w:lang w:val="en-US" w:eastAsia="zh-CN"/>
        </w:rPr>
        <w:t>（</w:t>
      </w:r>
      <w:r>
        <w:rPr>
          <w:rFonts w:hint="default"/>
          <w:color w:val="auto"/>
          <w:highlight w:val="none"/>
          <w:lang w:val="en-US" w:eastAsia="zh-CN"/>
        </w:rPr>
        <w:t>GB18597-20</w:t>
      </w:r>
      <w:r>
        <w:rPr>
          <w:rFonts w:hint="eastAsia"/>
          <w:color w:val="auto"/>
          <w:highlight w:val="none"/>
          <w:lang w:val="en-US" w:eastAsia="zh-CN"/>
        </w:rPr>
        <w:t>23</w:t>
      </w:r>
      <w:r>
        <w:rPr>
          <w:rFonts w:hint="default"/>
          <w:color w:val="auto"/>
          <w:highlight w:val="none"/>
          <w:lang w:val="en-US" w:eastAsia="zh-CN"/>
        </w:rPr>
        <w:t>）</w:t>
      </w:r>
      <w:r>
        <w:rPr>
          <w:rFonts w:hint="default"/>
          <w:color w:val="auto"/>
          <w:highlight w:val="none"/>
        </w:rPr>
        <w:t>要求。</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126" w:name="_bookmark28"/>
      <w:bookmarkEnd w:id="126"/>
      <w:bookmarkStart w:id="127" w:name="_bookmark28"/>
      <w:bookmarkEnd w:id="127"/>
      <w:bookmarkStart w:id="128" w:name="_Toc23977"/>
      <w:r>
        <w:rPr>
          <w:rFonts w:hint="eastAsia" w:ascii="Times New Roman" w:hAnsi="Times New Roman" w:eastAsia="宋体" w:cs="Times New Roman"/>
          <w:bCs w:val="0"/>
          <w:color w:val="auto"/>
          <w:kern w:val="2"/>
          <w:szCs w:val="20"/>
          <w:highlight w:val="none"/>
          <w:lang w:val="en-US" w:eastAsia="zh-CN" w:bidi="ar-SA"/>
        </w:rPr>
        <w:t>2.5</w:t>
      </w:r>
      <w:r>
        <w:rPr>
          <w:rFonts w:hint="eastAsia" w:ascii="Times New Roman" w:hAnsi="Times New Roman" w:eastAsia="宋体" w:cs="Times New Roman"/>
          <w:bCs w:val="0"/>
          <w:color w:val="auto"/>
          <w:kern w:val="2"/>
          <w:szCs w:val="20"/>
          <w:highlight w:val="none"/>
          <w:lang w:val="en-US" w:bidi="ar-SA"/>
        </w:rPr>
        <w:t>评价等级和评价重点</w:t>
      </w:r>
      <w:bookmarkEnd w:id="128"/>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color w:val="auto"/>
          <w:spacing w:val="0"/>
          <w:w w:val="99"/>
          <w:position w:val="0"/>
          <w:highlight w:val="none"/>
        </w:rPr>
      </w:pPr>
      <w:bookmarkStart w:id="129" w:name="_bookmark29"/>
      <w:bookmarkEnd w:id="129"/>
      <w:bookmarkStart w:id="130" w:name="_bookmark29"/>
      <w:bookmarkEnd w:id="130"/>
      <w:bookmarkStart w:id="131" w:name="_Toc4284"/>
      <w:r>
        <w:rPr>
          <w:rFonts w:hint="eastAsia" w:ascii="Times New Roman" w:hAnsi="Times New Roman" w:eastAsia="宋体" w:cs="Times New Roman"/>
          <w:color w:val="auto"/>
          <w:spacing w:val="0"/>
          <w:w w:val="99"/>
          <w:position w:val="0"/>
          <w:highlight w:val="none"/>
          <w:lang w:val="en-US" w:eastAsia="zh-CN"/>
        </w:rPr>
        <w:t>2.5.1</w:t>
      </w:r>
      <w:r>
        <w:rPr>
          <w:rFonts w:ascii="Times New Roman" w:hAnsi="Times New Roman" w:eastAsia="宋体" w:cs="Times New Roman"/>
          <w:color w:val="auto"/>
          <w:spacing w:val="0"/>
          <w:w w:val="99"/>
          <w:position w:val="0"/>
          <w:highlight w:val="none"/>
        </w:rPr>
        <w:t>评价等级</w:t>
      </w:r>
      <w:bookmarkEnd w:id="131"/>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根据工程分析，依据《环境影响评价技术导则》中关于评价等级判据，确定各环境要素的评价等级。</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2" w:name="_Toc22300"/>
      <w:r>
        <w:rPr>
          <w:rFonts w:hint="eastAsia" w:ascii="Times New Roman" w:hAnsi="Times New Roman" w:eastAsia="宋体" w:cs="Times New Roman"/>
          <w:b/>
          <w:bCs/>
          <w:color w:val="auto"/>
          <w:szCs w:val="20"/>
          <w:highlight w:val="none"/>
          <w:lang w:val="en-US" w:eastAsia="zh-CN" w:bidi="ar-SA"/>
        </w:rPr>
        <w:t>2.5.1.1</w:t>
      </w:r>
      <w:r>
        <w:rPr>
          <w:rFonts w:hint="eastAsia" w:ascii="Times New Roman" w:hAnsi="Times New Roman" w:eastAsia="宋体" w:cs="Times New Roman"/>
          <w:b/>
          <w:bCs/>
          <w:color w:val="auto"/>
          <w:szCs w:val="20"/>
          <w:highlight w:val="none"/>
          <w:lang w:val="en-US" w:bidi="ar-SA"/>
        </w:rPr>
        <w:t>水环境影响评价等级</w:t>
      </w:r>
      <w:bookmarkEnd w:id="132"/>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地</w:t>
      </w:r>
      <w:r>
        <w:rPr>
          <w:rFonts w:hint="eastAsia"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lang w:val="en-US" w:eastAsia="zh-CN"/>
        </w:rPr>
        <w:t>水环境》</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HJ2.3-</w:t>
      </w:r>
      <w:r>
        <w:rPr>
          <w:rFonts w:hint="eastAsia" w:ascii="Times New Roman" w:hAnsi="Times New Roman" w:eastAsia="宋体" w:cs="Times New Roman"/>
          <w:color w:val="auto"/>
          <w:highlight w:val="none"/>
          <w:lang w:val="en-US" w:eastAsia="zh-CN"/>
        </w:rPr>
        <w:t>2018）</w:t>
      </w:r>
      <w:r>
        <w:rPr>
          <w:rFonts w:hint="default" w:ascii="Times New Roman" w:hAnsi="Times New Roman" w:eastAsia="宋体" w:cs="Times New Roman"/>
          <w:color w:val="auto"/>
          <w:highlight w:val="none"/>
          <w:lang w:val="en-US" w:eastAsia="zh-CN"/>
        </w:rPr>
        <w:t>中规定的评价工作等级划分依据，本工程的具体情况为：</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本项目生产工艺废水主要为斜筛脱水机脱下的水、网下、压榨脱下的水和锅炉排水，全部排入污水处理站，处理后全部回用于生产工艺，不外排。</w:t>
      </w:r>
      <w:r>
        <w:rPr>
          <w:rFonts w:hint="eastAsia" w:cs="Times New Roman"/>
          <w:color w:val="auto"/>
          <w:highlight w:val="none"/>
          <w:lang w:val="en-US" w:eastAsia="zh-CN"/>
        </w:rPr>
        <w:t>生活污水</w:t>
      </w:r>
      <w:r>
        <w:rPr>
          <w:rFonts w:hint="eastAsia" w:cs="Times New Roman"/>
          <w:color w:val="auto"/>
          <w:highlight w:val="none"/>
          <w:lang w:val="zh-CN" w:eastAsia="zh-CN"/>
        </w:rPr>
        <w:t>采取防渗旱厕回收还田</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lang w:val="en-US" w:eastAsia="zh-CN"/>
        </w:rPr>
        <w:t>《环境影响评价技术导则-地</w:t>
      </w:r>
      <w:r>
        <w:rPr>
          <w:rFonts w:hint="eastAsia"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lang w:val="en-US" w:eastAsia="zh-CN"/>
        </w:rPr>
        <w:t>水环境》</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HJ2.3-</w:t>
      </w:r>
      <w:r>
        <w:rPr>
          <w:rFonts w:hint="eastAsia" w:ascii="Times New Roman" w:hAnsi="Times New Roman" w:eastAsia="宋体" w:cs="Times New Roman"/>
          <w:color w:val="auto"/>
          <w:highlight w:val="none"/>
          <w:lang w:val="en-US" w:eastAsia="zh-CN"/>
        </w:rPr>
        <w:t>2018）中表1水污染影响型建设项目评价等级判定表中“注10：建设项目生产工艺中有废水产生，但作为回水利用，不排放到外环境的，按三级B评价。”</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生产废水回收利用</w:t>
      </w:r>
      <w:r>
        <w:rPr>
          <w:rFonts w:hint="default" w:ascii="Times New Roman" w:hAnsi="Times New Roman" w:eastAsia="宋体" w:cs="Times New Roman"/>
          <w:color w:val="auto"/>
          <w:highlight w:val="none"/>
          <w:lang w:val="en-US" w:eastAsia="zh-CN"/>
        </w:rPr>
        <w:t>不</w:t>
      </w:r>
      <w:r>
        <w:rPr>
          <w:rFonts w:hint="eastAsia" w:cs="Times New Roman"/>
          <w:color w:val="auto"/>
          <w:highlight w:val="none"/>
          <w:lang w:val="en-US" w:eastAsia="zh-CN"/>
        </w:rPr>
        <w:t>外排</w:t>
      </w:r>
      <w:r>
        <w:rPr>
          <w:rFonts w:hint="default" w:ascii="Times New Roman" w:hAnsi="Times New Roman" w:eastAsia="宋体" w:cs="Times New Roman"/>
          <w:color w:val="auto"/>
          <w:highlight w:val="none"/>
          <w:lang w:val="en-US" w:eastAsia="zh-CN"/>
        </w:rPr>
        <w:t>。因此，地表水环境影响评价工作等级为三级</w:t>
      </w:r>
      <w:r>
        <w:rPr>
          <w:rFonts w:hint="eastAsia" w:ascii="Times New Roman" w:hAnsi="Times New Roman" w:eastAsia="宋体" w:cs="Times New Roman"/>
          <w:color w:val="auto"/>
          <w:highlight w:val="none"/>
          <w:lang w:val="en-US" w:eastAsia="zh-CN"/>
        </w:rPr>
        <w:t>B</w:t>
      </w:r>
      <w:r>
        <w:rPr>
          <w:rFonts w:hint="default" w:ascii="Times New Roman" w:hAnsi="Times New Roman" w:eastAsia="宋体" w:cs="Times New Roman"/>
          <w:color w:val="auto"/>
          <w:highlight w:val="none"/>
          <w:lang w:val="en-US" w:eastAsia="zh-CN"/>
        </w:rPr>
        <w:t>，本次仅对污水处理站处理后的水回用于生产工艺可行性进行分析。</w:t>
      </w:r>
    </w:p>
    <w:p>
      <w:pPr>
        <w:bidi w:val="0"/>
        <w:ind w:firstLine="883"/>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表2.5.1.1-1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水污染影响型建设项目评价等级判定表</w:t>
      </w:r>
    </w:p>
    <w:tbl>
      <w:tblPr>
        <w:tblStyle w:val="24"/>
        <w:tblpPr w:leftFromText="180" w:rightFromText="180" w:vertAnchor="text" w:horzAnchor="page" w:tblpX="1421" w:tblpY="514"/>
        <w:tblOverlap w:val="never"/>
        <w:tblW w:w="92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2"/>
        <w:gridCol w:w="1943"/>
        <w:gridCol w:w="5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942" w:type="dxa"/>
            <w:vMerge w:val="restart"/>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both"/>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评价等级</w:t>
            </w:r>
          </w:p>
        </w:tc>
        <w:tc>
          <w:tcPr>
            <w:tcW w:w="7337"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942" w:type="dxa"/>
            <w:vMerge w:val="continue"/>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94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排放方式</w:t>
            </w:r>
          </w:p>
        </w:tc>
        <w:tc>
          <w:tcPr>
            <w:tcW w:w="5394"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废水排放量</w:t>
            </w:r>
            <w:r>
              <w:rPr>
                <w:rFonts w:ascii="Times New Roman" w:hAnsi="Times New Roman" w:eastAsia="宋体" w:cs="Times New Roman"/>
                <w:caps w:val="0"/>
                <w:smallCaps w:val="0"/>
                <w:color w:val="auto"/>
                <w:spacing w:val="0"/>
                <w:w w:val="100"/>
                <w:position w:val="0"/>
                <w:sz w:val="21"/>
                <w:szCs w:val="21"/>
                <w:highlight w:val="none"/>
                <w:lang w:val="en-US" w:eastAsia="zh-CN"/>
              </w:rPr>
              <w:t>Q</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m</w:t>
            </w:r>
            <w:r>
              <w:rPr>
                <w:rFonts w:hint="default"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/d</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eastAsia" w:cs="Times New Roman"/>
                <w:caps w:val="0"/>
                <w:smallCaps w:val="0"/>
                <w:color w:val="auto"/>
                <w:spacing w:val="0"/>
                <w:w w:val="100"/>
                <w:position w:val="0"/>
                <w:sz w:val="21"/>
                <w:szCs w:val="21"/>
                <w:highlight w:val="none"/>
                <w:lang w:val="en-US" w:eastAsia="zh-CN"/>
              </w:rPr>
              <w:t>；</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水污染物当量数</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W/</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（量纲一）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942"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一级</w:t>
            </w:r>
          </w:p>
        </w:tc>
        <w:tc>
          <w:tcPr>
            <w:tcW w:w="194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直接排放</w:t>
            </w:r>
          </w:p>
        </w:tc>
        <w:tc>
          <w:tcPr>
            <w:tcW w:w="5394"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lang w:val="en-US" w:eastAsia="zh-CN"/>
              </w:rPr>
              <w:t>Q</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20000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或</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W</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942"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二级</w:t>
            </w:r>
          </w:p>
        </w:tc>
        <w:tc>
          <w:tcPr>
            <w:tcW w:w="194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直接排放</w:t>
            </w:r>
          </w:p>
        </w:tc>
        <w:tc>
          <w:tcPr>
            <w:tcW w:w="5394"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942"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三级</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A</w:t>
            </w:r>
          </w:p>
        </w:tc>
        <w:tc>
          <w:tcPr>
            <w:tcW w:w="194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直接排放</w:t>
            </w:r>
          </w:p>
        </w:tc>
        <w:tc>
          <w:tcPr>
            <w:tcW w:w="5394"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lang w:val="en-US" w:eastAsia="zh-CN"/>
              </w:rPr>
              <w:t>Q</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200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且</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W</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942"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三级</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B</w:t>
            </w:r>
          </w:p>
        </w:tc>
        <w:tc>
          <w:tcPr>
            <w:tcW w:w="194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间接排放</w:t>
            </w:r>
          </w:p>
        </w:tc>
        <w:tc>
          <w:tcPr>
            <w:tcW w:w="5394"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6" w:hRule="atLeast"/>
        </w:trPr>
        <w:tc>
          <w:tcPr>
            <w:tcW w:w="9279" w:type="dxa"/>
            <w:gridSpan w:val="3"/>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1</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：水污染物当量数等于该污染物的年排放量除以该污染物的污染当量值（见附录</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A</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：厂区存在堆积物（露天堆放的原料、燃料、废渣等以及垃圾堆放场）、降尘污染的，应将初期雨污水纳入废水排放量，相应的主要污染物纳入水污染当量计算。</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4</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：建设项目直接排放第一类污染物的，其评价等级为一级；建设项目直接排放的污染物为受纳水体超标因子的，评价等级不低于二级。</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：直接排放受纳水体影响范围涉及饮用水水源保护区、饮用水取水口、重点保护与珍稀水生生物的栖息地、重要水生生物的自然产卵场等保护目标时，评价等级不低于二级。</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6</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：建设项目向河流、湖库排放温排水引起受纳水体水温变化超过水环境质量标准要求，且评价范围有水温敏感目标时，评价等级为一级。</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7</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：建设项目利用海水作为调节温度介质，排水量≥</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500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万</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m</w:t>
            </w:r>
            <w:r>
              <w:rPr>
                <w:rFonts w:hint="default"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/d</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，评价等级为一级；排水量＜</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500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万</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m</w:t>
            </w:r>
            <w:r>
              <w:rPr>
                <w:rFonts w:hint="default"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/d</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，评价等级为二级。</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8</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：仅涉及清净下水排放的，如其排放水质满足受纳水体水环境质量标准要求的，评价等级为三级</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A</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9</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：依托现有排放口，且对外环境未新增排放污染物的直接排放建设项目，评价等级参照间接排放，定为三级</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B</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left"/>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注</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10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：建设项目生产工艺中有废水产生，但作为回水利用，不排放到外环境的，按三级</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B</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评价。</w:t>
            </w:r>
          </w:p>
        </w:tc>
      </w:tr>
    </w:tbl>
    <w:p>
      <w:pPr>
        <w:pStyle w:val="11"/>
        <w:keepNext w:val="0"/>
        <w:keepLines w:val="0"/>
        <w:pageBreakBefore w:val="0"/>
        <w:kinsoku/>
        <w:wordWrap/>
        <w:overflowPunct/>
        <w:topLinePunct w:val="0"/>
        <w:bidi w:val="0"/>
        <w:spacing w:line="30" w:lineRule="exact"/>
        <w:ind w:left="0"/>
        <w:textAlignment w:val="auto"/>
        <w:rPr>
          <w:rFonts w:ascii="Times New Roman" w:hAnsi="Times New Roman" w:eastAsia="宋体" w:cs="Times New Roman"/>
          <w:color w:val="auto"/>
          <w:spacing w:val="0"/>
          <w:w w:val="99"/>
          <w:position w:val="0"/>
          <w:sz w:val="3"/>
          <w:highlight w:val="none"/>
        </w:rPr>
      </w:pP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3" w:name="_Toc29092"/>
      <w:r>
        <w:rPr>
          <w:rFonts w:hint="eastAsia" w:ascii="Times New Roman" w:hAnsi="Times New Roman" w:eastAsia="宋体" w:cs="Times New Roman"/>
          <w:b/>
          <w:bCs/>
          <w:color w:val="auto"/>
          <w:szCs w:val="20"/>
          <w:highlight w:val="none"/>
          <w:lang w:val="en-US" w:eastAsia="zh-CN" w:bidi="ar-SA"/>
        </w:rPr>
        <w:t>2.5.1.2</w:t>
      </w:r>
      <w:r>
        <w:rPr>
          <w:rFonts w:hint="eastAsia" w:ascii="Times New Roman" w:hAnsi="Times New Roman" w:eastAsia="宋体" w:cs="Times New Roman"/>
          <w:b/>
          <w:bCs/>
          <w:color w:val="auto"/>
          <w:szCs w:val="20"/>
          <w:highlight w:val="none"/>
          <w:lang w:val="en-US" w:bidi="ar-SA"/>
        </w:rPr>
        <w:t>大气环境影响评价等级</w:t>
      </w:r>
      <w:bookmarkEnd w:id="133"/>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大气环境》</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HJ2.2-20</w:t>
      </w:r>
      <w:r>
        <w:rPr>
          <w:rFonts w:hint="eastAsia" w:cs="Times New Roman"/>
          <w:color w:val="auto"/>
          <w:highlight w:val="none"/>
          <w:lang w:val="en-US" w:eastAsia="zh-CN"/>
        </w:rPr>
        <w:t>18</w:t>
      </w:r>
      <w:r>
        <w:rPr>
          <w:rFonts w:hint="default" w:ascii="Times New Roman" w:hAnsi="Times New Roman" w:eastAsia="宋体" w:cs="Times New Roman"/>
          <w:color w:val="auto"/>
          <w:highlight w:val="none"/>
          <w:lang w:val="en-US" w:eastAsia="zh-CN"/>
        </w:rPr>
        <w:t>）中的有关规定，将大气环境影响评价工作分为一、二、三级，评价工作级别的依据见表2.</w:t>
      </w:r>
      <w:r>
        <w:rPr>
          <w:rFonts w:hint="eastAsia" w:cs="Times New Roman"/>
          <w:color w:val="auto"/>
          <w:highlight w:val="none"/>
          <w:lang w:val="en-US" w:eastAsia="zh-CN"/>
        </w:rPr>
        <w:t>5.1.2</w:t>
      </w:r>
      <w:r>
        <w:rPr>
          <w:rFonts w:hint="default" w:ascii="Times New Roman" w:hAnsi="Times New Roman" w:eastAsia="宋体" w:cs="Times New Roman"/>
          <w:color w:val="auto"/>
          <w:highlight w:val="none"/>
          <w:lang w:val="en-US" w:eastAsia="zh-CN"/>
        </w:rPr>
        <w:t>-1。</w:t>
      </w:r>
    </w:p>
    <w:p>
      <w:pPr>
        <w:bidi w:val="0"/>
        <w:ind w:firstLine="88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w:t>
      </w:r>
      <w:r>
        <w:rPr>
          <w:rFonts w:hint="eastAsia" w:ascii="Times New Roman" w:hAnsi="Times New Roman" w:eastAsia="宋体" w:cs="Times New Roman"/>
          <w:color w:val="auto"/>
          <w:highlight w:val="none"/>
          <w:lang w:val="en-US" w:eastAsia="zh-CN"/>
        </w:rPr>
        <w:t>2.5.1.2-1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环境空气影响评价工作等级</w:t>
      </w:r>
    </w:p>
    <w:tbl>
      <w:tblPr>
        <w:tblStyle w:val="23"/>
        <w:tblW w:w="93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4"/>
        <w:gridCol w:w="6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2654"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评价工作等级</w:t>
            </w:r>
          </w:p>
        </w:tc>
        <w:tc>
          <w:tcPr>
            <w:tcW w:w="6745"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GB" w:eastAsia="zh-CN"/>
              </w:rPr>
            </w:pPr>
            <w:r>
              <w:rPr>
                <w:rFonts w:hint="eastAsia" w:ascii="Times New Roman" w:hAnsi="Times New Roman" w:eastAsia="宋体" w:cs="Times New Roman"/>
                <w:caps w:val="0"/>
                <w:smallCaps w:val="0"/>
                <w:color w:val="auto"/>
                <w:spacing w:val="0"/>
                <w:w w:val="100"/>
                <w:position w:val="0"/>
                <w:sz w:val="21"/>
                <w:szCs w:val="21"/>
                <w:highlight w:val="none"/>
                <w:lang w:val="en-GB"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654"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一级</w:t>
            </w:r>
          </w:p>
        </w:tc>
        <w:tc>
          <w:tcPr>
            <w:tcW w:w="6745"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GB"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654"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二级</w:t>
            </w:r>
          </w:p>
        </w:tc>
        <w:tc>
          <w:tcPr>
            <w:tcW w:w="6745"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GB"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2654"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三级</w:t>
            </w:r>
          </w:p>
        </w:tc>
        <w:tc>
          <w:tcPr>
            <w:tcW w:w="6745" w:type="dxa"/>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GB"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Pmax＜1％</w:t>
            </w:r>
          </w:p>
        </w:tc>
      </w:tr>
    </w:tbl>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P</w:t>
      </w:r>
      <w:r>
        <w:rPr>
          <w:rFonts w:ascii="Times New Roman" w:hAnsi="Times New Roman" w:eastAsia="宋体" w:cs="Times New Roman"/>
          <w:color w:val="auto"/>
          <w:highlight w:val="none"/>
          <w:vertAlign w:val="subscript"/>
        </w:rPr>
        <w:t>i</w:t>
      </w:r>
      <w:r>
        <w:rPr>
          <w:rFonts w:ascii="Times New Roman" w:hAnsi="Times New Roman" w:eastAsia="宋体" w:cs="Times New Roman"/>
          <w:color w:val="auto"/>
          <w:highlight w:val="none"/>
        </w:rPr>
        <w:t>的计算方法为：P</w:t>
      </w:r>
      <w:r>
        <w:rPr>
          <w:rFonts w:ascii="Times New Roman" w:hAnsi="Times New Roman" w:eastAsia="宋体" w:cs="Times New Roman"/>
          <w:color w:val="auto"/>
          <w:highlight w:val="none"/>
          <w:vertAlign w:val="subscript"/>
        </w:rPr>
        <w:t>i</w:t>
      </w:r>
      <w:r>
        <w:rPr>
          <w:rFonts w:ascii="Times New Roman" w:hAnsi="Times New Roman" w:eastAsia="宋体" w:cs="Times New Roman"/>
          <w:color w:val="auto"/>
          <w:highlight w:val="none"/>
        </w:rPr>
        <w:t>=C</w:t>
      </w:r>
      <w:r>
        <w:rPr>
          <w:rFonts w:ascii="Times New Roman" w:hAnsi="Times New Roman" w:eastAsia="宋体" w:cs="Times New Roman"/>
          <w:color w:val="auto"/>
          <w:highlight w:val="none"/>
          <w:vertAlign w:val="subscript"/>
        </w:rPr>
        <w:t>i</w:t>
      </w:r>
      <w:r>
        <w:rPr>
          <w:rFonts w:ascii="Times New Roman" w:hAnsi="Times New Roman" w:eastAsia="宋体" w:cs="Times New Roman"/>
          <w:color w:val="auto"/>
          <w:highlight w:val="none"/>
        </w:rPr>
        <w:t>/C</w:t>
      </w:r>
      <w:r>
        <w:rPr>
          <w:rFonts w:ascii="Times New Roman" w:hAnsi="Times New Roman" w:eastAsia="宋体" w:cs="Times New Roman"/>
          <w:color w:val="auto"/>
          <w:highlight w:val="none"/>
          <w:vertAlign w:val="subscript"/>
        </w:rPr>
        <w:t>0i</w:t>
      </w:r>
      <w:r>
        <w:rPr>
          <w:rFonts w:ascii="Times New Roman" w:hAnsi="Times New Roman" w:eastAsia="宋体" w:cs="Times New Roman"/>
          <w:color w:val="auto"/>
          <w:highlight w:val="none"/>
        </w:rPr>
        <w:t>×100%</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式中：P</w:t>
      </w:r>
      <w:r>
        <w:rPr>
          <w:rFonts w:ascii="Times New Roman" w:hAnsi="Times New Roman" w:eastAsia="宋体" w:cs="Times New Roman"/>
          <w:color w:val="auto"/>
          <w:highlight w:val="none"/>
          <w:vertAlign w:val="subscript"/>
        </w:rPr>
        <w:t>i</w:t>
      </w:r>
      <w:r>
        <w:rPr>
          <w:rFonts w:ascii="Times New Roman" w:hAnsi="Times New Roman" w:eastAsia="宋体" w:cs="Times New Roman"/>
          <w:color w:val="auto"/>
          <w:highlight w:val="none"/>
        </w:rPr>
        <w:t>——第i个污染物的最大地面浓度占标率</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w:t>
      </w:r>
      <w:r>
        <w:rPr>
          <w:rFonts w:ascii="Times New Roman" w:hAnsi="Times New Roman" w:eastAsia="宋体" w:cs="Times New Roman"/>
          <w:color w:val="auto"/>
          <w:highlight w:val="none"/>
          <w:vertAlign w:val="subscript"/>
        </w:rPr>
        <w:t>i</w:t>
      </w:r>
      <w:r>
        <w:rPr>
          <w:rFonts w:ascii="Times New Roman" w:hAnsi="Times New Roman" w:eastAsia="宋体" w:cs="Times New Roman"/>
          <w:color w:val="auto"/>
          <w:highlight w:val="none"/>
        </w:rPr>
        <w:t>——采用估算模式计算出的第i个污染物的最大地面浓度</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w:t>
      </w:r>
      <w:r>
        <w:rPr>
          <w:rFonts w:ascii="Times New Roman" w:hAnsi="Times New Roman" w:eastAsia="宋体" w:cs="Times New Roman"/>
          <w:color w:val="auto"/>
          <w:highlight w:val="none"/>
          <w:vertAlign w:val="subscript"/>
        </w:rPr>
        <w:t>oi</w:t>
      </w:r>
      <w:r>
        <w:rPr>
          <w:rFonts w:ascii="Times New Roman" w:hAnsi="Times New Roman" w:eastAsia="宋体" w:cs="Times New Roman"/>
          <w:color w:val="auto"/>
          <w:highlight w:val="none"/>
        </w:rPr>
        <w:t>——第i个污染物的环境空气质量标准</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C</w:t>
      </w:r>
      <w:r>
        <w:rPr>
          <w:rFonts w:ascii="Times New Roman" w:hAnsi="Times New Roman" w:eastAsia="宋体" w:cs="Times New Roman"/>
          <w:color w:val="auto"/>
          <w:highlight w:val="none"/>
          <w:vertAlign w:val="subscript"/>
        </w:rPr>
        <w:t>oi</w:t>
      </w:r>
      <w:r>
        <w:rPr>
          <w:rFonts w:ascii="Times New Roman" w:hAnsi="Times New Roman" w:eastAsia="宋体" w:cs="Times New Roman"/>
          <w:color w:val="auto"/>
          <w:highlight w:val="none"/>
        </w:rPr>
        <w:t>一般选用GB3095中1h平均取样时间的二级标准的质量浓度限值；对于没有小时浓度限值的污染物</w:t>
      </w:r>
      <w:r>
        <w:rPr>
          <w:rFonts w:hint="eastAsia" w:cs="Times New Roman"/>
          <w:color w:val="auto"/>
          <w:highlight w:val="none"/>
          <w:lang w:eastAsia="zh-CN"/>
        </w:rPr>
        <w:t>（</w:t>
      </w:r>
      <w:r>
        <w:rPr>
          <w:rFonts w:ascii="Times New Roman" w:hAnsi="Times New Roman" w:eastAsia="宋体" w:cs="Times New Roman"/>
          <w:color w:val="auto"/>
          <w:highlight w:val="none"/>
        </w:rPr>
        <w:t>PM</w:t>
      </w:r>
      <w:r>
        <w:rPr>
          <w:rFonts w:ascii="Times New Roman" w:hAnsi="Times New Roman" w:eastAsia="宋体" w:cs="Times New Roman"/>
          <w:color w:val="auto"/>
          <w:highlight w:val="none"/>
          <w:vertAlign w:val="subscript"/>
        </w:rPr>
        <w:t>10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，取日平均浓度限值的三倍值；对该标准未包含的污染物</w:t>
      </w:r>
      <w:r>
        <w:rPr>
          <w:rFonts w:hint="eastAsia" w:cs="Times New Roman"/>
          <w:color w:val="auto"/>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NH</w:t>
      </w:r>
      <w:r>
        <w:rPr>
          <w:rFonts w:ascii="Times New Roman" w:hAnsi="Times New Roman" w:eastAsia="宋体" w:cs="Times New Roman"/>
          <w:caps w:val="0"/>
          <w:smallCaps w:val="0"/>
          <w:color w:val="auto"/>
          <w:spacing w:val="0"/>
          <w:w w:val="100"/>
          <w:position w:val="0"/>
          <w:sz w:val="21"/>
          <w:szCs w:val="21"/>
          <w:highlight w:val="none"/>
          <w:vertAlign w:val="subscript"/>
        </w:rPr>
        <w:t>3</w:t>
      </w:r>
      <w:r>
        <w:rPr>
          <w:rFonts w:hint="eastAsia" w:cs="Times New Roman"/>
          <w:caps w:val="0"/>
          <w:smallCaps w:val="0"/>
          <w:color w:val="auto"/>
          <w:spacing w:val="0"/>
          <w:w w:val="100"/>
          <w:position w:val="0"/>
          <w:sz w:val="21"/>
          <w:szCs w:val="21"/>
          <w:highlight w:val="none"/>
          <w:vertAlign w:val="subscript"/>
          <w:lang w:eastAsia="zh-CN"/>
        </w:rPr>
        <w:t>、</w:t>
      </w: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w:t>
      </w:r>
      <w:r>
        <w:rPr>
          <w:rFonts w:hint="eastAsia" w:cs="Times New Roman"/>
          <w:color w:val="auto"/>
          <w:highlight w:val="none"/>
          <w:lang w:eastAsia="zh-CN"/>
        </w:rPr>
        <w:t>）</w:t>
      </w:r>
      <w:r>
        <w:rPr>
          <w:rFonts w:ascii="Times New Roman" w:hAnsi="Times New Roman" w:eastAsia="宋体" w:cs="Times New Roman"/>
          <w:color w:val="auto"/>
          <w:highlight w:val="none"/>
        </w:rPr>
        <w:t>，</w:t>
      </w:r>
      <w:r>
        <w:rPr>
          <w:rFonts w:hint="eastAsia" w:cs="Times New Roman"/>
          <w:color w:val="auto"/>
          <w:highlight w:val="none"/>
          <w:lang w:eastAsia="zh-CN"/>
        </w:rPr>
        <w:t>选用</w:t>
      </w:r>
      <w:r>
        <w:rPr>
          <w:rFonts w:hint="default" w:ascii="Times New Roman" w:hAnsi="Times New Roman" w:eastAsia="宋体" w:cs="Times New Roman"/>
          <w:color w:val="auto"/>
          <w:highlight w:val="none"/>
          <w:lang w:val="en-US" w:eastAsia="zh-CN"/>
        </w:rPr>
        <w:t>《环境影响评价技术导则  大气环境》</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HJ2.2-20</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8）中</w:t>
      </w:r>
      <w:r>
        <w:rPr>
          <w:rFonts w:hint="eastAsia" w:cs="Times New Roman"/>
          <w:color w:val="auto"/>
          <w:highlight w:val="none"/>
          <w:lang w:eastAsia="zh-CN"/>
        </w:rPr>
        <w:t>附录</w:t>
      </w:r>
      <w:r>
        <w:rPr>
          <w:rFonts w:hint="eastAsia" w:cs="Times New Roman"/>
          <w:color w:val="auto"/>
          <w:highlight w:val="none"/>
          <w:lang w:val="en-US" w:eastAsia="zh-CN"/>
        </w:rPr>
        <w:t>D表D.1其他污染物空气质量</w:t>
      </w:r>
      <w:r>
        <w:rPr>
          <w:rFonts w:ascii="Times New Roman" w:hAnsi="Times New Roman" w:eastAsia="宋体" w:cs="Times New Roman"/>
          <w:color w:val="auto"/>
          <w:highlight w:val="none"/>
        </w:rPr>
        <w:t>浓度</w:t>
      </w:r>
      <w:r>
        <w:rPr>
          <w:rFonts w:hint="eastAsia" w:cs="Times New Roman"/>
          <w:color w:val="auto"/>
          <w:highlight w:val="none"/>
          <w:lang w:eastAsia="zh-CN"/>
        </w:rPr>
        <w:t>参考限值（小时值）</w:t>
      </w:r>
      <w:r>
        <w:rPr>
          <w:rFonts w:ascii="Times New Roman" w:hAnsi="Times New Roman" w:eastAsia="宋体" w:cs="Times New Roman"/>
          <w:color w:val="auto"/>
          <w:highlight w:val="none"/>
        </w:rPr>
        <w:t>。</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本项目主要大气污染物为生产车间及污水处理站产生的恶臭气体，即NH</w:t>
      </w:r>
      <w:r>
        <w:rPr>
          <w:rFonts w:ascii="Times New Roman" w:hAnsi="Times New Roman" w:eastAsia="宋体" w:cs="Times New Roman"/>
          <w:color w:val="auto"/>
          <w:highlight w:val="none"/>
          <w:vertAlign w:val="subscript"/>
        </w:rPr>
        <w:t>3</w:t>
      </w:r>
      <w:r>
        <w:rPr>
          <w:rFonts w:ascii="Times New Roman" w:hAnsi="Times New Roman" w:eastAsia="宋体" w:cs="Times New Roman"/>
          <w:color w:val="auto"/>
          <w:highlight w:val="none"/>
        </w:rPr>
        <w:t>和H</w:t>
      </w:r>
      <w:r>
        <w:rPr>
          <w:rFonts w:ascii="Times New Roman" w:hAnsi="Times New Roman" w:eastAsia="宋体" w:cs="Times New Roman"/>
          <w:color w:val="auto"/>
          <w:highlight w:val="none"/>
          <w:vertAlign w:val="subscript"/>
        </w:rPr>
        <w:t>2</w:t>
      </w:r>
      <w:r>
        <w:rPr>
          <w:rFonts w:ascii="Times New Roman" w:hAnsi="Times New Roman" w:eastAsia="宋体" w:cs="Times New Roman"/>
          <w:color w:val="auto"/>
          <w:highlight w:val="none"/>
        </w:rPr>
        <w:t>S；</w:t>
      </w:r>
      <w:r>
        <w:rPr>
          <w:rFonts w:hint="eastAsia" w:cs="Times New Roman"/>
          <w:color w:val="auto"/>
          <w:highlight w:val="none"/>
          <w:lang w:eastAsia="zh-CN"/>
        </w:rPr>
        <w:t>生物质</w:t>
      </w:r>
      <w:r>
        <w:rPr>
          <w:rFonts w:ascii="Times New Roman" w:hAnsi="Times New Roman" w:eastAsia="宋体" w:cs="Times New Roman"/>
          <w:color w:val="auto"/>
          <w:highlight w:val="none"/>
        </w:rPr>
        <w:t>锅炉产生的锅炉烟气，即颗粒物、SO</w:t>
      </w:r>
      <w:r>
        <w:rPr>
          <w:rFonts w:ascii="Times New Roman" w:hAnsi="Times New Roman" w:eastAsia="宋体" w:cs="Times New Roman"/>
          <w:color w:val="auto"/>
          <w:highlight w:val="none"/>
          <w:vertAlign w:val="subscript"/>
        </w:rPr>
        <w:t>2</w:t>
      </w:r>
      <w:r>
        <w:rPr>
          <w:rFonts w:ascii="Times New Roman" w:hAnsi="Times New Roman" w:eastAsia="宋体" w:cs="Times New Roman"/>
          <w:color w:val="auto"/>
          <w:highlight w:val="none"/>
        </w:rPr>
        <w:t>、NO</w:t>
      </w:r>
      <w:r>
        <w:rPr>
          <w:rFonts w:ascii="Times New Roman" w:hAnsi="Times New Roman" w:eastAsia="宋体" w:cs="Times New Roman"/>
          <w:color w:val="auto"/>
          <w:highlight w:val="none"/>
          <w:vertAlign w:val="subscript"/>
        </w:rPr>
        <w:t>x</w:t>
      </w:r>
      <w:r>
        <w:rPr>
          <w:rFonts w:ascii="Times New Roman" w:hAnsi="Times New Roman" w:eastAsia="宋体" w:cs="Times New Roman"/>
          <w:color w:val="auto"/>
          <w:highlight w:val="none"/>
        </w:rPr>
        <w:t>；故本项目选取NH</w:t>
      </w:r>
      <w:r>
        <w:rPr>
          <w:rFonts w:ascii="Times New Roman" w:hAnsi="Times New Roman" w:eastAsia="宋体" w:cs="Times New Roman"/>
          <w:color w:val="auto"/>
          <w:highlight w:val="none"/>
          <w:vertAlign w:val="subscript"/>
        </w:rPr>
        <w:t>3</w:t>
      </w:r>
      <w:r>
        <w:rPr>
          <w:rFonts w:ascii="Times New Roman" w:hAnsi="Times New Roman" w:eastAsia="宋体" w:cs="Times New Roman"/>
          <w:color w:val="auto"/>
          <w:highlight w:val="none"/>
        </w:rPr>
        <w:t>、H</w:t>
      </w:r>
      <w:r>
        <w:rPr>
          <w:rFonts w:ascii="Times New Roman" w:hAnsi="Times New Roman" w:eastAsia="宋体" w:cs="Times New Roman"/>
          <w:color w:val="auto"/>
          <w:highlight w:val="none"/>
          <w:vertAlign w:val="subscript"/>
        </w:rPr>
        <w:t>2</w:t>
      </w:r>
      <w:r>
        <w:rPr>
          <w:rFonts w:ascii="Times New Roman" w:hAnsi="Times New Roman" w:eastAsia="宋体" w:cs="Times New Roman"/>
          <w:color w:val="auto"/>
          <w:highlight w:val="none"/>
        </w:rPr>
        <w:t>S、颗粒物、SO</w:t>
      </w:r>
      <w:r>
        <w:rPr>
          <w:rFonts w:ascii="Times New Roman" w:hAnsi="Times New Roman" w:eastAsia="宋体" w:cs="Times New Roman"/>
          <w:color w:val="auto"/>
          <w:highlight w:val="none"/>
          <w:vertAlign w:val="subscript"/>
        </w:rPr>
        <w:t>2</w:t>
      </w:r>
      <w:r>
        <w:rPr>
          <w:rFonts w:ascii="Times New Roman" w:hAnsi="Times New Roman" w:eastAsia="宋体" w:cs="Times New Roman"/>
          <w:color w:val="auto"/>
          <w:highlight w:val="none"/>
        </w:rPr>
        <w:t>、NO</w:t>
      </w:r>
      <w:r>
        <w:rPr>
          <w:rFonts w:ascii="Times New Roman" w:hAnsi="Times New Roman" w:eastAsia="宋体" w:cs="Times New Roman"/>
          <w:color w:val="auto"/>
          <w:highlight w:val="none"/>
          <w:vertAlign w:val="subscript"/>
        </w:rPr>
        <w:t>x</w:t>
      </w:r>
      <w:r>
        <w:rPr>
          <w:rFonts w:ascii="Times New Roman" w:hAnsi="Times New Roman" w:eastAsia="宋体" w:cs="Times New Roman"/>
          <w:color w:val="auto"/>
          <w:highlight w:val="none"/>
        </w:rPr>
        <w:t>为主要的污染物进行评价工作等级的确定。采用《环境影响技术导则  大气环境》</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HJ2.2-20</w:t>
      </w:r>
      <w:r>
        <w:rPr>
          <w:rFonts w:hint="eastAsia" w:cs="Times New Roman"/>
          <w:color w:val="auto"/>
          <w:highlight w:val="none"/>
          <w:lang w:val="en-US" w:eastAsia="zh-CN"/>
        </w:rPr>
        <w:t>18</w:t>
      </w:r>
      <w:r>
        <w:rPr>
          <w:rFonts w:ascii="Times New Roman" w:hAnsi="Times New Roman" w:eastAsia="宋体" w:cs="Times New Roman"/>
          <w:color w:val="auto"/>
          <w:highlight w:val="none"/>
        </w:rPr>
        <w:t>）中推荐的估算模式进</w:t>
      </w:r>
      <w:r>
        <w:rPr>
          <w:rFonts w:hint="default" w:ascii="Times New Roman" w:hAnsi="Times New Roman" w:eastAsia="宋体" w:cs="Times New Roman"/>
          <w:color w:val="auto"/>
          <w:highlight w:val="none"/>
          <w:lang w:val="en-US"/>
        </w:rPr>
        <w:t>行计算，估算模型参数见表</w:t>
      </w:r>
      <w:r>
        <w:rPr>
          <w:rFonts w:hint="eastAsia" w:ascii="Times New Roman" w:hAnsi="Times New Roman" w:eastAsia="宋体" w:cs="Times New Roman"/>
          <w:color w:val="auto"/>
          <w:highlight w:val="none"/>
          <w:lang w:val="en-US" w:eastAsia="zh-CN"/>
        </w:rPr>
        <w:t>2.5.1.2-2</w:t>
      </w:r>
      <w:r>
        <w:rPr>
          <w:rFonts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rPr>
        <w:t>预测结果</w:t>
      </w:r>
      <w:r>
        <w:rPr>
          <w:rFonts w:ascii="Times New Roman" w:hAnsi="Times New Roman" w:eastAsia="宋体" w:cs="Times New Roman"/>
          <w:color w:val="auto"/>
          <w:highlight w:val="none"/>
        </w:rPr>
        <w:t>见表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6</w:t>
      </w:r>
      <w:r>
        <w:rPr>
          <w:rFonts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2.5.1.2-2</w:t>
      </w:r>
      <w:r>
        <w:rPr>
          <w:rFonts w:hint="default" w:ascii="Times New Roman" w:hAnsi="Times New Roman" w:eastAsia="宋体" w:cs="Times New Roman"/>
          <w:color w:val="auto"/>
          <w:highlight w:val="none"/>
          <w:lang w:val="en-US"/>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 xml:space="preserve"> 估算模型参数一览表</w:t>
      </w:r>
    </w:p>
    <w:tbl>
      <w:tblPr>
        <w:tblStyle w:val="23"/>
        <w:tblW w:w="917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871"/>
        <w:gridCol w:w="4333"/>
        <w:gridCol w:w="197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7"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参数</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取值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2871" w:type="dxa"/>
            <w:vMerge w:val="restart"/>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城市/农村选项</w:t>
            </w:r>
          </w:p>
        </w:tc>
        <w:tc>
          <w:tcPr>
            <w:tcW w:w="433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城市/农村</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2871" w:type="dxa"/>
            <w:vMerge w:val="continue"/>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p>
        </w:tc>
        <w:tc>
          <w:tcPr>
            <w:tcW w:w="433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人口数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城市选项时）</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最高环境温度/℃</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38.9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最低环境温度/℃</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-36.2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土地利用类型</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建设用地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区域湿度条件</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中等湿度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2871" w:type="dxa"/>
            <w:vMerge w:val="restart"/>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是否考虑地形</w:t>
            </w:r>
          </w:p>
        </w:tc>
        <w:tc>
          <w:tcPr>
            <w:tcW w:w="433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考虑地形</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1" w:hRule="atLeast"/>
          <w:jc w:val="center"/>
        </w:trPr>
        <w:tc>
          <w:tcPr>
            <w:tcW w:w="2871" w:type="dxa"/>
            <w:vMerge w:val="continue"/>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p>
        </w:tc>
        <w:tc>
          <w:tcPr>
            <w:tcW w:w="4333"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地形数据分辨率/m</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2" w:hRule="atLeast"/>
          <w:jc w:val="center"/>
        </w:trPr>
        <w:tc>
          <w:tcPr>
            <w:tcW w:w="7204" w:type="dxa"/>
            <w:gridSpan w:val="2"/>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是否考虑岸线熏烟</w:t>
            </w:r>
          </w:p>
        </w:tc>
        <w:tc>
          <w:tcPr>
            <w:tcW w:w="1975" w:type="dxa"/>
            <w:tcBorders>
              <w:tl2br w:val="nil"/>
              <w:tr2bl w:val="nil"/>
            </w:tcBorders>
            <w:vAlign w:val="center"/>
          </w:tcPr>
          <w:p>
            <w:pPr>
              <w:keepNext w:val="0"/>
              <w:keepLines w:val="0"/>
              <w:pageBreakBefore w:val="0"/>
              <w:widowControl w:val="0"/>
              <w:kinsoku w:val="0"/>
              <w:wordWrap/>
              <w:overflowPunct w:val="0"/>
              <w:topLinePunct w:val="0"/>
              <w:autoSpaceDE/>
              <w:autoSpaceDN/>
              <w:bidi w:val="0"/>
              <w:adjustRightInd/>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否</w:t>
            </w:r>
          </w:p>
        </w:tc>
      </w:tr>
    </w:tbl>
    <w:p>
      <w:pPr>
        <w:bidi w:val="0"/>
        <w:ind w:firstLine="1028"/>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3</w:t>
      </w:r>
      <w:r>
        <w:rPr>
          <w:rFonts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cs="Times New Roman"/>
          <w:color w:val="auto"/>
          <w:sz w:val="24"/>
          <w:highlight w:val="none"/>
          <w:lang w:val="en-US" w:eastAsia="zh-CN"/>
        </w:rPr>
        <w:t>锅炉</w:t>
      </w:r>
      <w:r>
        <w:rPr>
          <w:rFonts w:ascii="Times New Roman" w:hAnsi="Times New Roman" w:eastAsia="宋体" w:cs="Times New Roman"/>
          <w:color w:val="auto"/>
          <w:sz w:val="24"/>
          <w:highlight w:val="none"/>
        </w:rPr>
        <w:t>点源参数调查清单</w:t>
      </w:r>
    </w:p>
    <w:tbl>
      <w:tblPr>
        <w:tblStyle w:val="28"/>
        <w:tblW w:w="5001"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autofit"/>
        <w:tblCellMar>
          <w:top w:w="0" w:type="dxa"/>
          <w:left w:w="0" w:type="dxa"/>
          <w:bottom w:w="0" w:type="dxa"/>
          <w:right w:w="0" w:type="dxa"/>
        </w:tblCellMar>
      </w:tblPr>
      <w:tblGrid>
        <w:gridCol w:w="1410"/>
        <w:gridCol w:w="1562"/>
        <w:gridCol w:w="1731"/>
        <w:gridCol w:w="1379"/>
        <w:gridCol w:w="1612"/>
        <w:gridCol w:w="13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814" w:hRule="atLeast"/>
        </w:trPr>
        <w:tc>
          <w:tcPr>
            <w:tcW w:w="7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污染源</w:t>
            </w:r>
          </w:p>
        </w:tc>
        <w:tc>
          <w:tcPr>
            <w:tcW w:w="8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w:t>
            </w:r>
          </w:p>
        </w:tc>
        <w:tc>
          <w:tcPr>
            <w:tcW w:w="9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源强</w:t>
            </w:r>
            <w:r>
              <w:rPr>
                <w:rFonts w:hint="eastAsia" w:ascii="Times New Roman" w:hAnsi="Times New Roman" w:eastAsia="宋体" w:cs="Times New Roman"/>
                <w:color w:val="auto"/>
                <w:spacing w:val="0"/>
                <w:w w:val="100"/>
                <w:position w:val="0"/>
                <w:sz w:val="21"/>
                <w:szCs w:val="21"/>
                <w:highlight w:val="none"/>
                <w:lang w:eastAsia="zh-CN"/>
              </w:rPr>
              <w:t>（</w:t>
            </w:r>
            <w:r>
              <w:rPr>
                <w:rFonts w:hint="eastAsia" w:ascii="Times New Roman" w:hAnsi="Times New Roman" w:eastAsia="宋体" w:cs="Times New Roman"/>
                <w:color w:val="auto"/>
                <w:spacing w:val="0"/>
                <w:w w:val="100"/>
                <w:position w:val="0"/>
                <w:sz w:val="21"/>
                <w:szCs w:val="21"/>
                <w:highlight w:val="none"/>
                <w:lang w:val="en-US" w:eastAsia="zh-CN"/>
              </w:rPr>
              <w:t>t/a</w:t>
            </w:r>
            <w:r>
              <w:rPr>
                <w:rFonts w:ascii="Times New Roman" w:hAnsi="Times New Roman" w:eastAsia="宋体" w:cs="Times New Roman"/>
                <w:color w:val="auto"/>
                <w:spacing w:val="0"/>
                <w:w w:val="100"/>
                <w:position w:val="0"/>
                <w:sz w:val="21"/>
                <w:szCs w:val="21"/>
                <w:highlight w:val="none"/>
              </w:rPr>
              <w:t>）</w:t>
            </w:r>
          </w:p>
        </w:tc>
        <w:tc>
          <w:tcPr>
            <w:tcW w:w="7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 xml:space="preserve">排气高度 </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m）</w:t>
            </w:r>
          </w:p>
        </w:tc>
        <w:tc>
          <w:tcPr>
            <w:tcW w:w="88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烟囱出口温度</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K）</w:t>
            </w:r>
          </w:p>
        </w:tc>
        <w:tc>
          <w:tcPr>
            <w:tcW w:w="7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 xml:space="preserve">烟囱内径 </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8" w:hRule="atLeast"/>
        </w:trPr>
        <w:tc>
          <w:tcPr>
            <w:tcW w:w="77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锅炉烟气</w:t>
            </w:r>
          </w:p>
        </w:tc>
        <w:tc>
          <w:tcPr>
            <w:tcW w:w="8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aps w:val="0"/>
                <w:smallCaps w:val="0"/>
                <w:snapToGrid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颗粒物</w:t>
            </w:r>
          </w:p>
        </w:tc>
        <w:tc>
          <w:tcPr>
            <w:tcW w:w="9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0.00625</w:t>
            </w:r>
          </w:p>
        </w:tc>
        <w:tc>
          <w:tcPr>
            <w:tcW w:w="75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35</w:t>
            </w:r>
          </w:p>
        </w:tc>
        <w:tc>
          <w:tcPr>
            <w:tcW w:w="88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375</w:t>
            </w:r>
          </w:p>
        </w:tc>
        <w:tc>
          <w:tcPr>
            <w:tcW w:w="76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8" w:hRule="atLeast"/>
        </w:trPr>
        <w:tc>
          <w:tcPr>
            <w:tcW w:w="7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8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aps w:val="0"/>
                <w:smallCaps w:val="0"/>
                <w:snapToGrid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kern w:val="18"/>
                <w:position w:val="0"/>
                <w:sz w:val="21"/>
                <w:szCs w:val="21"/>
                <w:highlight w:val="none"/>
              </w:rPr>
              <w:t>SO</w:t>
            </w:r>
            <w:r>
              <w:rPr>
                <w:rFonts w:ascii="Times New Roman" w:hAnsi="Times New Roman" w:eastAsia="宋体" w:cs="Times New Roman"/>
                <w:caps w:val="0"/>
                <w:smallCaps w:val="0"/>
                <w:color w:val="auto"/>
                <w:spacing w:val="0"/>
                <w:w w:val="100"/>
                <w:kern w:val="18"/>
                <w:position w:val="0"/>
                <w:sz w:val="21"/>
                <w:szCs w:val="21"/>
                <w:highlight w:val="none"/>
                <w:vertAlign w:val="subscript"/>
              </w:rPr>
              <w:t>2</w:t>
            </w:r>
          </w:p>
        </w:tc>
        <w:tc>
          <w:tcPr>
            <w:tcW w:w="9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1.41</w:t>
            </w:r>
          </w:p>
        </w:tc>
        <w:tc>
          <w:tcPr>
            <w:tcW w:w="75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88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76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22" w:hRule="atLeast"/>
        </w:trPr>
        <w:tc>
          <w:tcPr>
            <w:tcW w:w="7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8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aps w:val="0"/>
                <w:smallCaps w:val="0"/>
                <w:snapToGrid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kern w:val="18"/>
                <w:position w:val="0"/>
                <w:sz w:val="21"/>
                <w:szCs w:val="21"/>
                <w:highlight w:val="none"/>
              </w:rPr>
              <w:t>NO</w:t>
            </w:r>
            <w:r>
              <w:rPr>
                <w:rFonts w:ascii="Times New Roman" w:hAnsi="Times New Roman" w:eastAsia="宋体" w:cs="Times New Roman"/>
                <w:caps w:val="0"/>
                <w:smallCaps w:val="0"/>
                <w:color w:val="auto"/>
                <w:spacing w:val="0"/>
                <w:w w:val="100"/>
                <w:kern w:val="18"/>
                <w:position w:val="0"/>
                <w:sz w:val="21"/>
                <w:szCs w:val="21"/>
                <w:highlight w:val="none"/>
                <w:vertAlign w:val="subscript"/>
              </w:rPr>
              <w:t>X</w:t>
            </w:r>
          </w:p>
        </w:tc>
        <w:tc>
          <w:tcPr>
            <w:tcW w:w="9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4.25</w:t>
            </w:r>
          </w:p>
        </w:tc>
        <w:tc>
          <w:tcPr>
            <w:tcW w:w="75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88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76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4</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cs="Times New Roman"/>
          <w:color w:val="auto"/>
          <w:sz w:val="24"/>
          <w:highlight w:val="none"/>
          <w:lang w:val="en-US" w:eastAsia="zh-CN"/>
        </w:rPr>
        <w:t>污水处理站</w:t>
      </w:r>
      <w:r>
        <w:rPr>
          <w:rFonts w:ascii="Times New Roman" w:hAnsi="Times New Roman" w:eastAsia="宋体" w:cs="Times New Roman"/>
          <w:color w:val="auto"/>
          <w:sz w:val="24"/>
          <w:highlight w:val="none"/>
        </w:rPr>
        <w:t>点源参数调查清单</w:t>
      </w:r>
    </w:p>
    <w:tbl>
      <w:tblPr>
        <w:tblStyle w:val="28"/>
        <w:tblW w:w="4997"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126"/>
        <w:gridCol w:w="1255"/>
        <w:gridCol w:w="1387"/>
        <w:gridCol w:w="1104"/>
        <w:gridCol w:w="1289"/>
        <w:gridCol w:w="1108"/>
        <w:gridCol w:w="1151"/>
        <w:gridCol w:w="65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4" w:hRule="atLeast"/>
        </w:trPr>
        <w:tc>
          <w:tcPr>
            <w:tcW w:w="6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污染源</w:t>
            </w:r>
          </w:p>
        </w:tc>
        <w:tc>
          <w:tcPr>
            <w:tcW w:w="6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w:t>
            </w:r>
          </w:p>
        </w:tc>
        <w:tc>
          <w:tcPr>
            <w:tcW w:w="7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源强</w:t>
            </w:r>
            <w:r>
              <w:rPr>
                <w:rFonts w:hint="eastAsia" w:ascii="Times New Roman" w:hAnsi="Times New Roman" w:eastAsia="宋体" w:cs="Times New Roman"/>
                <w:color w:val="auto"/>
                <w:spacing w:val="0"/>
                <w:w w:val="100"/>
                <w:position w:val="0"/>
                <w:sz w:val="21"/>
                <w:szCs w:val="21"/>
                <w:highlight w:val="none"/>
                <w:lang w:eastAsia="zh-CN"/>
              </w:rPr>
              <w:t>（</w:t>
            </w:r>
            <w:r>
              <w:rPr>
                <w:rFonts w:hint="eastAsia" w:ascii="Times New Roman" w:hAnsi="Times New Roman" w:eastAsia="宋体" w:cs="Times New Roman"/>
                <w:color w:val="auto"/>
                <w:spacing w:val="0"/>
                <w:w w:val="100"/>
                <w:position w:val="0"/>
                <w:sz w:val="21"/>
                <w:szCs w:val="21"/>
                <w:highlight w:val="none"/>
                <w:lang w:val="en-US" w:eastAsia="zh-CN"/>
              </w:rPr>
              <w:t>t/a</w:t>
            </w:r>
            <w:r>
              <w:rPr>
                <w:rFonts w:ascii="Times New Roman" w:hAnsi="Times New Roman" w:eastAsia="宋体" w:cs="Times New Roman"/>
                <w:color w:val="auto"/>
                <w:spacing w:val="0"/>
                <w:w w:val="100"/>
                <w:position w:val="0"/>
                <w:sz w:val="21"/>
                <w:szCs w:val="21"/>
                <w:highlight w:val="none"/>
              </w:rPr>
              <w:t>）</w:t>
            </w:r>
          </w:p>
        </w:tc>
        <w:tc>
          <w:tcPr>
            <w:tcW w:w="6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 xml:space="preserve">排气高度 </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m）</w:t>
            </w:r>
          </w:p>
        </w:tc>
        <w:tc>
          <w:tcPr>
            <w:tcW w:w="7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烟囱出口温度</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K）</w:t>
            </w:r>
          </w:p>
        </w:tc>
        <w:tc>
          <w:tcPr>
            <w:tcW w:w="6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 xml:space="preserve">烟囱内径 </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m）</w:t>
            </w:r>
          </w:p>
        </w:tc>
        <w:tc>
          <w:tcPr>
            <w:tcW w:w="6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城市或乡村</w:t>
            </w:r>
          </w:p>
        </w:tc>
        <w:tc>
          <w:tcPr>
            <w:tcW w:w="3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地形</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62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锅炉烟气</w:t>
            </w:r>
          </w:p>
        </w:tc>
        <w:tc>
          <w:tcPr>
            <w:tcW w:w="6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氨</w:t>
            </w:r>
          </w:p>
        </w:tc>
        <w:tc>
          <w:tcPr>
            <w:tcW w:w="7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18"/>
                <w:position w:val="0"/>
                <w:sz w:val="21"/>
                <w:szCs w:val="21"/>
                <w:highlight w:val="none"/>
                <w:lang w:val="en-US" w:eastAsia="zh-CN"/>
              </w:rPr>
            </w:pPr>
            <w:r>
              <w:rPr>
                <w:rFonts w:hint="eastAsia" w:cs="Times New Roman"/>
                <w:caps w:val="0"/>
                <w:smallCaps w:val="0"/>
                <w:snapToGrid w:val="0"/>
                <w:color w:val="auto"/>
                <w:spacing w:val="0"/>
                <w:w w:val="100"/>
                <w:kern w:val="18"/>
                <w:position w:val="0"/>
                <w:sz w:val="21"/>
                <w:szCs w:val="21"/>
                <w:highlight w:val="none"/>
                <w:lang w:val="en-US" w:eastAsia="zh-CN"/>
              </w:rPr>
              <w:t>0.0648</w:t>
            </w:r>
          </w:p>
        </w:tc>
        <w:tc>
          <w:tcPr>
            <w:tcW w:w="60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c>
          <w:tcPr>
            <w:tcW w:w="71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100</w:t>
            </w:r>
          </w:p>
        </w:tc>
        <w:tc>
          <w:tcPr>
            <w:tcW w:w="61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0.5</w:t>
            </w:r>
          </w:p>
        </w:tc>
        <w:tc>
          <w:tcPr>
            <w:tcW w:w="63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农村</w:t>
            </w:r>
          </w:p>
        </w:tc>
        <w:tc>
          <w:tcPr>
            <w:tcW w:w="35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复杂</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62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69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aps w:val="0"/>
                <w:smallCaps w:val="0"/>
                <w:snapToGrid w:val="0"/>
                <w:color w:val="auto"/>
                <w:spacing w:val="0"/>
                <w:w w:val="100"/>
                <w:kern w:val="18"/>
                <w:position w:val="0"/>
                <w:sz w:val="21"/>
                <w:szCs w:val="21"/>
                <w:highlight w:val="none"/>
                <w:lang w:eastAsia="zh-CN"/>
              </w:rPr>
            </w:pPr>
            <w:r>
              <w:rPr>
                <w:rFonts w:hint="eastAsia" w:ascii="Times New Roman" w:hAnsi="Times New Roman" w:eastAsia="宋体" w:cs="Times New Roman"/>
                <w:caps w:val="0"/>
                <w:smallCaps w:val="0"/>
                <w:snapToGrid w:val="0"/>
                <w:color w:val="auto"/>
                <w:spacing w:val="0"/>
                <w:w w:val="100"/>
                <w:kern w:val="18"/>
                <w:position w:val="0"/>
                <w:sz w:val="21"/>
                <w:szCs w:val="21"/>
                <w:highlight w:val="none"/>
                <w:lang w:eastAsia="zh-CN"/>
              </w:rPr>
              <w:t>硫化氢</w:t>
            </w:r>
          </w:p>
        </w:tc>
        <w:tc>
          <w:tcPr>
            <w:tcW w:w="7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snapToGrid w:val="0"/>
                <w:color w:val="auto"/>
                <w:spacing w:val="0"/>
                <w:w w:val="100"/>
                <w:kern w:val="18"/>
                <w:position w:val="0"/>
                <w:sz w:val="21"/>
                <w:szCs w:val="21"/>
                <w:highlight w:val="none"/>
                <w:lang w:val="en-US" w:eastAsia="zh-CN"/>
              </w:rPr>
            </w:pPr>
            <w:r>
              <w:rPr>
                <w:rFonts w:hint="eastAsia" w:cs="Times New Roman"/>
                <w:caps w:val="0"/>
                <w:smallCaps w:val="0"/>
                <w:snapToGrid w:val="0"/>
                <w:color w:val="auto"/>
                <w:spacing w:val="0"/>
                <w:w w:val="100"/>
                <w:kern w:val="18"/>
                <w:position w:val="0"/>
                <w:sz w:val="21"/>
                <w:szCs w:val="21"/>
                <w:highlight w:val="none"/>
                <w:lang w:val="en-US" w:eastAsia="zh-CN"/>
              </w:rPr>
              <w:t>0.00252</w:t>
            </w:r>
          </w:p>
        </w:tc>
        <w:tc>
          <w:tcPr>
            <w:tcW w:w="6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71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61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63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359" w:type="pct"/>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highlight w:val="none"/>
              </w:rPr>
            </w:pPr>
          </w:p>
        </w:tc>
      </w:tr>
    </w:tbl>
    <w:p>
      <w:pPr>
        <w:bidi w:val="0"/>
        <w:ind w:firstLine="883"/>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5</w:t>
      </w:r>
      <w:r>
        <w:rPr>
          <w:rFonts w:hint="default" w:ascii="Times New Roman" w:hAnsi="Times New Roman" w:eastAsia="宋体" w:cs="Times New Roman"/>
          <w:color w:val="auto"/>
          <w:highlight w:val="none"/>
          <w:lang w:val="en-US"/>
        </w:rPr>
        <w:tab/>
      </w:r>
      <w:r>
        <w:rPr>
          <w:rFonts w:hint="eastAsia" w:asci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面源废气污染源参数一览表</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102"/>
        <w:gridCol w:w="1213"/>
        <w:gridCol w:w="1213"/>
        <w:gridCol w:w="1017"/>
        <w:gridCol w:w="744"/>
        <w:gridCol w:w="870"/>
        <w:gridCol w:w="884"/>
        <w:gridCol w:w="1017"/>
        <w:gridCol w:w="101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00" w:hRule="atLeast"/>
        </w:trPr>
        <w:tc>
          <w:tcPr>
            <w:tcW w:w="607" w:type="pct"/>
            <w:vMerge w:val="restart"/>
            <w:tcBorders>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污染源名称</w:t>
            </w:r>
          </w:p>
        </w:tc>
        <w:tc>
          <w:tcPr>
            <w:tcW w:w="1336" w:type="pct"/>
            <w:gridSpan w:val="2"/>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坐标(°)</w:t>
            </w:r>
          </w:p>
        </w:tc>
        <w:tc>
          <w:tcPr>
            <w:tcW w:w="560" w:type="pct"/>
            <w:vMerge w:val="restart"/>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海拔高度(m)</w:t>
            </w:r>
          </w:p>
        </w:tc>
        <w:tc>
          <w:tcPr>
            <w:tcW w:w="1376" w:type="pct"/>
            <w:gridSpan w:val="3"/>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矩形面源(m)</w:t>
            </w:r>
          </w:p>
        </w:tc>
        <w:tc>
          <w:tcPr>
            <w:tcW w:w="1119" w:type="pct"/>
            <w:gridSpan w:val="2"/>
            <w:tcBorders>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污染物排放速率</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(kg/h)</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2" w:hRule="atLeast"/>
        </w:trPr>
        <w:tc>
          <w:tcPr>
            <w:tcW w:w="607" w:type="pct"/>
            <w:vMerge w:val="continue"/>
            <w:tcBorders>
              <w:top w:val="nil"/>
              <w:left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8"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经度</w:t>
            </w:r>
          </w:p>
        </w:tc>
        <w:tc>
          <w:tcPr>
            <w:tcW w:w="66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纬度</w:t>
            </w:r>
          </w:p>
        </w:tc>
        <w:tc>
          <w:tcPr>
            <w:tcW w:w="560"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1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长度</w:t>
            </w:r>
          </w:p>
        </w:tc>
        <w:tc>
          <w:tcPr>
            <w:tcW w:w="479"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宽度</w:t>
            </w:r>
          </w:p>
        </w:tc>
        <w:tc>
          <w:tcPr>
            <w:tcW w:w="485"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有效高度</w:t>
            </w:r>
          </w:p>
        </w:tc>
        <w:tc>
          <w:tcPr>
            <w:tcW w:w="56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aps w:val="0"/>
                <w:smallCaps w:val="0"/>
                <w:snapToGrid w:val="0"/>
                <w:color w:val="auto"/>
                <w:spacing w:val="0"/>
                <w:w w:val="100"/>
                <w:kern w:val="18"/>
                <w:position w:val="0"/>
                <w:sz w:val="21"/>
                <w:szCs w:val="21"/>
                <w:highlight w:val="none"/>
                <w:lang w:eastAsia="zh-CN"/>
              </w:rPr>
              <w:t>硫化氢</w:t>
            </w:r>
          </w:p>
        </w:tc>
        <w:tc>
          <w:tcPr>
            <w:tcW w:w="558"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4" w:hRule="atLeast"/>
        </w:trPr>
        <w:tc>
          <w:tcPr>
            <w:tcW w:w="607" w:type="pct"/>
            <w:tcBorders>
              <w:top w:val="single" w:color="000000" w:sz="6" w:space="0"/>
              <w:left w:val="nil"/>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矩形面源</w:t>
            </w:r>
          </w:p>
        </w:tc>
        <w:tc>
          <w:tcPr>
            <w:tcW w:w="668"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124.716911</w:t>
            </w:r>
          </w:p>
        </w:tc>
        <w:tc>
          <w:tcPr>
            <w:tcW w:w="667"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45.924469</w:t>
            </w:r>
          </w:p>
        </w:tc>
        <w:tc>
          <w:tcPr>
            <w:tcW w:w="560"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138.00</w:t>
            </w:r>
          </w:p>
        </w:tc>
        <w:tc>
          <w:tcPr>
            <w:tcW w:w="410"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180</w:t>
            </w:r>
          </w:p>
        </w:tc>
        <w:tc>
          <w:tcPr>
            <w:tcW w:w="479"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170</w:t>
            </w:r>
          </w:p>
        </w:tc>
        <w:tc>
          <w:tcPr>
            <w:tcW w:w="485"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2.50</w:t>
            </w:r>
          </w:p>
        </w:tc>
        <w:tc>
          <w:tcPr>
            <w:tcW w:w="560" w:type="pct"/>
            <w:tcBorders>
              <w:top w:val="single" w:color="000000" w:sz="6" w:space="0"/>
              <w:left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0.00035</w:t>
            </w:r>
          </w:p>
        </w:tc>
        <w:tc>
          <w:tcPr>
            <w:tcW w:w="558" w:type="pct"/>
            <w:tcBorders>
              <w:top w:val="single" w:color="000000" w:sz="6" w:space="0"/>
              <w:left w:val="single" w:color="000000"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ascii="Times New Roman" w:hAnsi="Times New Roman" w:eastAsia="宋体" w:cs="Times New Roman"/>
                <w:color w:val="auto"/>
                <w:spacing w:val="0"/>
                <w:w w:val="100"/>
                <w:position w:val="0"/>
                <w:sz w:val="21"/>
                <w:szCs w:val="21"/>
                <w:highlight w:val="none"/>
              </w:rPr>
              <w:t>0.00</w:t>
            </w:r>
            <w:r>
              <w:rPr>
                <w:rFonts w:hint="eastAsia" w:ascii="Times New Roman" w:cs="Times New Roman"/>
                <w:color w:val="auto"/>
                <w:spacing w:val="0"/>
                <w:w w:val="100"/>
                <w:position w:val="0"/>
                <w:sz w:val="21"/>
                <w:szCs w:val="21"/>
                <w:highlight w:val="none"/>
                <w:lang w:val="en-US" w:eastAsia="zh-CN"/>
              </w:rPr>
              <w:t>9</w:t>
            </w:r>
          </w:p>
        </w:tc>
      </w:tr>
    </w:tbl>
    <w:p>
      <w:pPr>
        <w:bidi w:val="0"/>
        <w:rPr>
          <w:color w:val="auto"/>
          <w:sz w:val="24"/>
          <w:highlight w:val="none"/>
        </w:rPr>
      </w:pPr>
      <w:r>
        <w:rPr>
          <w:color w:val="auto"/>
          <w:sz w:val="24"/>
          <w:highlight w:val="none"/>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6</w:t>
      </w:r>
      <w:r>
        <w:rPr>
          <w:color w:val="auto"/>
          <w:sz w:val="24"/>
          <w:highlight w:val="none"/>
        </w:rPr>
        <w:t xml:space="preserve">      </w:t>
      </w:r>
      <w:r>
        <w:rPr>
          <w:rFonts w:hint="eastAsia"/>
          <w:color w:val="auto"/>
          <w:sz w:val="24"/>
          <w:highlight w:val="none"/>
          <w:lang w:val="en-US" w:eastAsia="zh-CN"/>
        </w:rPr>
        <w:t xml:space="preserve"> </w:t>
      </w:r>
      <w:r>
        <w:rPr>
          <w:color w:val="auto"/>
          <w:sz w:val="24"/>
          <w:highlight w:val="none"/>
        </w:rPr>
        <w:t>锅炉烟气污染物排放采用估算模式计算结果表</w:t>
      </w:r>
    </w:p>
    <w:tbl>
      <w:tblPr>
        <w:tblStyle w:val="2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83"/>
        <w:gridCol w:w="1912"/>
        <w:gridCol w:w="1169"/>
        <w:gridCol w:w="1022"/>
        <w:gridCol w:w="1171"/>
        <w:gridCol w:w="1022"/>
        <w:gridCol w:w="1171"/>
        <w:gridCol w:w="102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321"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序号</w:t>
            </w:r>
          </w:p>
        </w:tc>
        <w:tc>
          <w:tcPr>
            <w:tcW w:w="1053"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排气筒下风向距离</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r>
              <w:rPr>
                <w:rFonts w:hint="eastAsia" w:ascii="Times New Roman" w:hAnsi="Times New Roman" w:eastAsia="宋体" w:cs="Times New Roman"/>
                <w:color w:val="auto"/>
                <w:w w:val="100"/>
                <w:sz w:val="21"/>
                <w:highlight w:val="none"/>
                <w:lang w:eastAsia="zh-CN"/>
              </w:rPr>
              <w:t>）</w:t>
            </w:r>
          </w:p>
        </w:tc>
        <w:tc>
          <w:tcPr>
            <w:tcW w:w="1207" w:type="pct"/>
            <w:gridSpan w:val="2"/>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SO</w:t>
            </w:r>
            <w:r>
              <w:rPr>
                <w:rFonts w:ascii="Times New Roman" w:hAnsi="Times New Roman" w:eastAsia="宋体" w:cs="Times New Roman"/>
                <w:color w:val="auto"/>
                <w:w w:val="100"/>
                <w:sz w:val="21"/>
                <w:highlight w:val="none"/>
                <w:vertAlign w:val="subscript"/>
              </w:rPr>
              <w:t>2</w:t>
            </w:r>
          </w:p>
        </w:tc>
        <w:tc>
          <w:tcPr>
            <w:tcW w:w="1208" w:type="pct"/>
            <w:gridSpan w:val="2"/>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NO</w:t>
            </w:r>
            <w:r>
              <w:rPr>
                <w:rFonts w:ascii="Times New Roman" w:hAnsi="Times New Roman" w:eastAsia="宋体" w:cs="Times New Roman"/>
                <w:color w:val="auto"/>
                <w:w w:val="100"/>
                <w:sz w:val="21"/>
                <w:highlight w:val="none"/>
                <w:vertAlign w:val="subscript"/>
              </w:rPr>
              <w:t>x</w:t>
            </w:r>
          </w:p>
        </w:tc>
        <w:tc>
          <w:tcPr>
            <w:tcW w:w="1208" w:type="pct"/>
            <w:gridSpan w:val="2"/>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TSP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2" w:hRule="atLeast"/>
          <w:jc w:val="center"/>
        </w:trPr>
        <w:tc>
          <w:tcPr>
            <w:tcW w:w="321" w:type="pct"/>
            <w:vMerge w:val="continue"/>
            <w:tcBorders>
              <w:tl2br w:val="nil"/>
              <w:tr2bl w:val="nil"/>
            </w:tcBorders>
            <w:textDirection w:val="tbRlV"/>
            <w:vAlign w:val="center"/>
          </w:tcPr>
          <w:p>
            <w:pPr>
              <w:pStyle w:val="31"/>
              <w:bidi w:val="0"/>
              <w:rPr>
                <w:rFonts w:ascii="Times New Roman" w:hAnsi="Times New Roman" w:eastAsia="宋体" w:cs="Times New Roman"/>
                <w:color w:val="auto"/>
                <w:w w:val="100"/>
                <w:sz w:val="21"/>
                <w:highlight w:val="none"/>
              </w:rPr>
            </w:pPr>
          </w:p>
        </w:tc>
        <w:tc>
          <w:tcPr>
            <w:tcW w:w="1053"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浓度</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562"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占标率</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w:t>
            </w:r>
            <w:r>
              <w:rPr>
                <w:rFonts w:hint="eastAsia" w:ascii="Times New Roman" w:hAnsi="Times New Roman" w:eastAsia="宋体" w:cs="Times New Roman"/>
                <w:color w:val="auto"/>
                <w:w w:val="100"/>
                <w:sz w:val="21"/>
                <w:highlight w:val="none"/>
                <w:lang w:eastAsia="zh-CN"/>
              </w:rPr>
              <w:t>）</w:t>
            </w:r>
          </w:p>
        </w:tc>
        <w:tc>
          <w:tcPr>
            <w:tcW w:w="64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浓度</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562"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占标率</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w:t>
            </w:r>
            <w:r>
              <w:rPr>
                <w:rFonts w:hint="eastAsia" w:ascii="Times New Roman" w:hAnsi="Times New Roman" w:eastAsia="宋体" w:cs="Times New Roman"/>
                <w:color w:val="auto"/>
                <w:w w:val="100"/>
                <w:sz w:val="21"/>
                <w:highlight w:val="none"/>
                <w:lang w:eastAsia="zh-CN"/>
              </w:rPr>
              <w:t>）</w:t>
            </w:r>
          </w:p>
        </w:tc>
        <w:tc>
          <w:tcPr>
            <w:tcW w:w="64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浓度</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563"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占标率</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w:t>
            </w:r>
            <w:r>
              <w:rPr>
                <w:rFonts w:hint="eastAsia" w:ascii="Times New Roman" w:hAnsi="Times New Roman" w:eastAsia="宋体" w:cs="Times New Roman"/>
                <w:color w:val="auto"/>
                <w:w w:val="100"/>
                <w:sz w:val="21"/>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0.000036</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0.02</w:t>
            </w:r>
          </w:p>
        </w:tc>
        <w:tc>
          <w:tcPr>
            <w:tcW w:w="64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0.0</w:t>
            </w:r>
            <w:r>
              <w:rPr>
                <w:rFonts w:hint="eastAsia" w:ascii="Times New Roman" w:hAnsi="Times New Roman" w:eastAsia="宋体" w:cs="Times New Roman"/>
                <w:color w:val="auto"/>
                <w:w w:val="100"/>
                <w:sz w:val="21"/>
                <w:highlight w:val="none"/>
                <w:lang w:val="en-US" w:eastAsia="zh-CN"/>
              </w:rPr>
              <w:t>0</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0.0011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0.22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0.003299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1.65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0.004134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0.83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0.012402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6.20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0.000018</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0.002842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0.008525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4.26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0.000013</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0.003731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0.011194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5.60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0.000016</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6</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0.003967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0.011902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5.95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0.000017</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7</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0.004952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0.014855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7.43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8</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0.005465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0.016395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8.20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0.000024</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9</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0.005617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1.12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0.016851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8.43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208</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0.005624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1.12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0.016871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8.44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11</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0.005596</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1.12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0.016788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8.39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12</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0.005484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1.10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0.016452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8.23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0.000024</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13</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0.005322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0.015967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7.98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0.000023</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14</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0.005137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0.015412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7.71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0.000023</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15</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0.004943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0.01483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7.41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16</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0.004816</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0.014447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7.22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17</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0.004797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0.01439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7.19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18</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0.004748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0.014243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7.12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19</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0.004683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0.014049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7.02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0.004605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0.013816</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6.91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21</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0.004518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0.90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0.013555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6.78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22</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0.004425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0.89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0.013276</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6.64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23</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0.004329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0.87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0.012987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6.49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0.000019</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24</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0.004038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0.81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0.012113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6.06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0.000018</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25</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625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0.003962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0.011887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5.94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0.000017</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26</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0.003958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0.011874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5.94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0.000017</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27</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800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0.003873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0.011618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5.81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0.000017</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28</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925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0.011101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5.55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0.000016</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29</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0.003493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0.70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0.010479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5.24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30</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1125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0.003365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0.67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0.010095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5.05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0.000015</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31</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1225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0.003198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0.64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0.009594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4.80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0.000014</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32</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1350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0.003005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0.60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0.009015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4.51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0.000013</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33</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1475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0.002828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0.008485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4.24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34</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1500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0.002795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0.56</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0.008384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4.19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35</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1600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0.002667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0.008002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4.00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0.000012</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36</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1725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0.002522</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0.50</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0.007565</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3.78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37</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1850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0.00239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0.48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0.007171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3.59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38</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1975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0.002271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0.45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0.006814</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3.41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39</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2025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0.002227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0.45</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0.006681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3.34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0.00001</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40</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2125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0.002143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0.43</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0.00643</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3.21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0.000009</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41</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2275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0.002029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0.41</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0.006087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3.04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0.000009</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42</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2375</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0.001959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0.39</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0.005878</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2.94</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0.000009</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43</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2450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0.00191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0.38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0.005731</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2.87</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0.000008</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321"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44</w:t>
            </w:r>
          </w:p>
        </w:tc>
        <w:tc>
          <w:tcPr>
            <w:tcW w:w="105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2500</w:t>
            </w:r>
          </w:p>
        </w:tc>
        <w:tc>
          <w:tcPr>
            <w:tcW w:w="64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0.001879</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0.38</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0.005637</w:t>
            </w:r>
          </w:p>
        </w:tc>
        <w:tc>
          <w:tcPr>
            <w:tcW w:w="562"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2.82</w:t>
            </w:r>
          </w:p>
        </w:tc>
        <w:tc>
          <w:tcPr>
            <w:tcW w:w="64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0.000008</w:t>
            </w:r>
          </w:p>
        </w:tc>
        <w:tc>
          <w:tcPr>
            <w:tcW w:w="563"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bl>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6</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污水处理站恶臭</w:t>
      </w:r>
      <w:r>
        <w:rPr>
          <w:rFonts w:ascii="Times New Roman" w:hAnsi="Times New Roman" w:eastAsia="宋体" w:cs="Times New Roman"/>
          <w:color w:val="auto"/>
          <w:highlight w:val="none"/>
        </w:rPr>
        <w:t>污染物</w:t>
      </w:r>
      <w:r>
        <w:rPr>
          <w:rFonts w:hint="eastAsia" w:ascii="Times New Roman" w:cs="Times New Roman"/>
          <w:color w:val="auto"/>
          <w:highlight w:val="none"/>
          <w:lang w:val="en-US" w:eastAsia="zh-CN"/>
        </w:rPr>
        <w:t>有组织</w:t>
      </w:r>
      <w:r>
        <w:rPr>
          <w:rFonts w:ascii="Times New Roman" w:hAnsi="Times New Roman" w:eastAsia="宋体" w:cs="Times New Roman"/>
          <w:color w:val="auto"/>
          <w:highlight w:val="none"/>
        </w:rPr>
        <w:t>排放采用估算模式计算结果表</w:t>
      </w:r>
    </w:p>
    <w:tbl>
      <w:tblPr>
        <w:tblStyle w:val="28"/>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44"/>
        <w:gridCol w:w="1873"/>
        <w:gridCol w:w="1572"/>
        <w:gridCol w:w="1705"/>
        <w:gridCol w:w="1572"/>
        <w:gridCol w:w="170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5" w:type="pct"/>
            <w:vMerge w:val="restart"/>
            <w:tcBorders>
              <w:tl2br w:val="nil"/>
              <w:tr2bl w:val="nil"/>
            </w:tcBorders>
            <w:textDirection w:val="tbRlV"/>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 号</w:t>
            </w:r>
          </w:p>
        </w:tc>
        <w:tc>
          <w:tcPr>
            <w:tcW w:w="1032" w:type="pct"/>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下风向距离</w:t>
            </w:r>
          </w:p>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r>
              <w:rPr>
                <w:rFonts w:hint="eastAsia" w:ascii="Times New Roman" w:hAnsi="Times New Roman" w:eastAsia="宋体" w:cs="Times New Roman"/>
                <w:color w:val="auto"/>
                <w:w w:val="100"/>
                <w:sz w:val="21"/>
                <w:highlight w:val="none"/>
                <w:lang w:eastAsia="zh-CN"/>
              </w:rPr>
              <w:t>）</w:t>
            </w:r>
          </w:p>
        </w:tc>
        <w:tc>
          <w:tcPr>
            <w:tcW w:w="1805" w:type="pct"/>
            <w:gridSpan w:val="2"/>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氨</w:t>
            </w:r>
          </w:p>
        </w:tc>
        <w:tc>
          <w:tcPr>
            <w:tcW w:w="1806" w:type="pct"/>
            <w:gridSpan w:val="2"/>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硫化氢</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12" w:hRule="atLeast"/>
          <w:jc w:val="center"/>
        </w:trPr>
        <w:tc>
          <w:tcPr>
            <w:tcW w:w="355" w:type="pct"/>
            <w:vMerge w:val="continue"/>
            <w:tcBorders>
              <w:tl2br w:val="nil"/>
              <w:tr2bl w:val="nil"/>
            </w:tcBorders>
            <w:textDirection w:val="tbRlV"/>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p>
        </w:tc>
        <w:tc>
          <w:tcPr>
            <w:tcW w:w="1032" w:type="pct"/>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p>
        </w:tc>
        <w:tc>
          <w:tcPr>
            <w:tcW w:w="86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浓度</w:t>
            </w:r>
          </w:p>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93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占标率</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w:t>
            </w:r>
            <w:r>
              <w:rPr>
                <w:rFonts w:hint="eastAsia" w:ascii="Times New Roman" w:hAnsi="Times New Roman" w:eastAsia="宋体" w:cs="Times New Roman"/>
                <w:color w:val="auto"/>
                <w:w w:val="100"/>
                <w:sz w:val="21"/>
                <w:highlight w:val="none"/>
                <w:lang w:eastAsia="zh-CN"/>
              </w:rPr>
              <w:t>）</w:t>
            </w:r>
          </w:p>
        </w:tc>
        <w:tc>
          <w:tcPr>
            <w:tcW w:w="86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浓度</w:t>
            </w:r>
          </w:p>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93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占标率</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w:t>
            </w:r>
            <w:r>
              <w:rPr>
                <w:rFonts w:hint="eastAsia" w:ascii="Times New Roman" w:hAnsi="Times New Roman" w:eastAsia="宋体" w:cs="Times New Roman"/>
                <w:color w:val="auto"/>
                <w:w w:val="100"/>
                <w:sz w:val="21"/>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0.000021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0.000033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0.02</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75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0.000034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0.02</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0.000044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0.02</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0.000002</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6</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125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0.000079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1"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7</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150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0.000105</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8</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175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0.000109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9</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0.000109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213</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11</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225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0.000109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12</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250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0.000106</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13</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275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0.0001</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14</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0.000094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15</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325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16</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350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0.000086</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17</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375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0.000085</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18</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0.000087</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1"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19</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425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0.000087</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0.000003</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8"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450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0.000089</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21</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475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0.000092</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355"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22</w:t>
            </w:r>
          </w:p>
        </w:tc>
        <w:tc>
          <w:tcPr>
            <w:tcW w:w="10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500</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0.000095</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0.05</w:t>
            </w:r>
          </w:p>
        </w:tc>
        <w:tc>
          <w:tcPr>
            <w:tcW w:w="8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0.000004</w:t>
            </w:r>
          </w:p>
        </w:tc>
        <w:tc>
          <w:tcPr>
            <w:tcW w:w="93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0.04</w:t>
            </w:r>
          </w:p>
        </w:tc>
      </w:tr>
    </w:tbl>
    <w:p>
      <w:pPr>
        <w:bidi w:val="0"/>
        <w:ind w:firstLine="1028"/>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8</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污水处理站</w:t>
      </w:r>
      <w:r>
        <w:rPr>
          <w:rFonts w:hint="eastAsia" w:ascii="Times New Roman" w:cs="Times New Roman"/>
          <w:color w:val="auto"/>
          <w:highlight w:val="none"/>
          <w:lang w:val="en-US" w:eastAsia="zh-CN"/>
        </w:rPr>
        <w:t>无组织</w:t>
      </w:r>
      <w:r>
        <w:rPr>
          <w:rFonts w:ascii="Times New Roman" w:hAnsi="Times New Roman" w:eastAsia="宋体" w:cs="Times New Roman"/>
          <w:color w:val="auto"/>
          <w:highlight w:val="none"/>
        </w:rPr>
        <w:t>排放采用估算模式计算结果表</w:t>
      </w:r>
    </w:p>
    <w:tbl>
      <w:tblPr>
        <w:tblStyle w:val="23"/>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487"/>
        <w:gridCol w:w="1487"/>
        <w:gridCol w:w="1488"/>
        <w:gridCol w:w="1492"/>
        <w:gridCol w:w="1841"/>
        <w:gridCol w:w="14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800" w:type="pct"/>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序号</w:t>
            </w:r>
          </w:p>
        </w:tc>
        <w:tc>
          <w:tcPr>
            <w:tcW w:w="800" w:type="pct"/>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排气筒下风向距离（m）</w:t>
            </w:r>
          </w:p>
        </w:tc>
        <w:tc>
          <w:tcPr>
            <w:tcW w:w="160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氨</w:t>
            </w:r>
          </w:p>
        </w:tc>
        <w:tc>
          <w:tcPr>
            <w:tcW w:w="179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硫化氢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10" w:hRule="atLeast"/>
        </w:trPr>
        <w:tc>
          <w:tcPr>
            <w:tcW w:w="800"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p>
        </w:tc>
        <w:tc>
          <w:tcPr>
            <w:tcW w:w="800"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浓度（mg/m</w:t>
            </w:r>
            <w:r>
              <w:rPr>
                <w:rFonts w:hint="eastAsia" w:ascii="Times New Roman" w:hAnsi="Times New Roman" w:eastAsia="宋体" w:cs="Times New Roman"/>
                <w:color w:val="auto"/>
                <w:w w:val="100"/>
                <w:sz w:val="21"/>
                <w:highlight w:val="none"/>
                <w:vertAlign w:val="superscript"/>
                <w:lang w:val="en-US" w:eastAsia="zh-CN"/>
              </w:rPr>
              <w:t>3</w:t>
            </w:r>
            <w:r>
              <w:rPr>
                <w:rFonts w:hint="eastAsia" w:ascii="Times New Roman" w:hAnsi="Times New Roman" w:eastAsia="宋体" w:cs="Times New Roman"/>
                <w:color w:val="auto"/>
                <w:w w:val="100"/>
                <w:sz w:val="21"/>
                <w:highlight w:val="none"/>
                <w:lang w:val="en-US" w:eastAsia="zh-CN"/>
              </w:rPr>
              <w:t>）</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占标率（%）</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浓度（mg/m</w:t>
            </w:r>
            <w:r>
              <w:rPr>
                <w:rFonts w:hint="eastAsia" w:ascii="Times New Roman" w:hAnsi="Times New Roman" w:eastAsia="宋体" w:cs="Times New Roman"/>
                <w:color w:val="auto"/>
                <w:w w:val="100"/>
                <w:sz w:val="21"/>
                <w:highlight w:val="none"/>
                <w:vertAlign w:val="superscript"/>
                <w:lang w:val="en-US" w:eastAsia="zh-CN"/>
              </w:rPr>
              <w:t>3</w:t>
            </w:r>
            <w:r>
              <w:rPr>
                <w:rFonts w:hint="eastAsia" w:ascii="Times New Roman" w:hAnsi="Times New Roman" w:eastAsia="宋体" w:cs="Times New Roman"/>
                <w:color w:val="auto"/>
                <w:w w:val="100"/>
                <w:sz w:val="21"/>
                <w:highlight w:val="none"/>
                <w:lang w:val="en-US" w:eastAsia="zh-CN"/>
              </w:rPr>
              <w:t>）</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占标率（%）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0.00074</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0.37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0.00088</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0.44</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0.0011</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4</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0.00132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0.66</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5</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0.00154</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6</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0.00174</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0.87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7</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0.00186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0.93</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0.000003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8</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171</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0.0019</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0.95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0.000003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9</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0.0019</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0.95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0.000003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10</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0.00186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0.93</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0.000003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11</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0.00178</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0.89</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12</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0.00172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0.86</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13</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0.00166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0.83</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14</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0.00162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0.81</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15</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0.00156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0.78</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16</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0.00152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0.76</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17</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0.00148</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0.74</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18</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400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0.00144</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0.72</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19</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425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0.0014</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20</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450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0.00136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0.68</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21</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475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0.00132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0.66</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22</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500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0.0013</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23</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525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0.00126</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0.63</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0.49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24</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600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0.00118</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0.59</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0.000002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0.46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25</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700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0.00108</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0.54</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26</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800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27</w:t>
            </w:r>
          </w:p>
        </w:tc>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900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0.00102</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0.51</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28</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1100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0.00088</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0.44</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29</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1300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0.00078</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0.39</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30</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1600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0.00068</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0.34</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31</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2125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0.00056</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0.28</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32</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2225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0.00054</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33</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2250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0.00054</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0.27</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34</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2375</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0.00052</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0.26</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800"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35</w:t>
            </w:r>
          </w:p>
        </w:tc>
        <w:tc>
          <w:tcPr>
            <w:tcW w:w="800"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2500</w:t>
            </w:r>
          </w:p>
        </w:tc>
        <w:tc>
          <w:tcPr>
            <w:tcW w:w="80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0.0005</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0.25</w:t>
            </w:r>
          </w:p>
        </w:tc>
        <w:tc>
          <w:tcPr>
            <w:tcW w:w="991"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val="en-US" w:eastAsia="zh-CN"/>
              </w:rPr>
              <w:t xml:space="preserve">0.000001 </w:t>
            </w:r>
          </w:p>
        </w:tc>
        <w:tc>
          <w:tcPr>
            <w:tcW w:w="80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0.19</w:t>
            </w:r>
          </w:p>
        </w:tc>
      </w:tr>
    </w:tbl>
    <w:p>
      <w:pPr>
        <w:bidi w:val="0"/>
        <w:ind w:firstLine="883"/>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表</w:t>
      </w:r>
      <w:r>
        <w:rPr>
          <w:rFonts w:hint="eastAsia" w:ascii="Times New Roman" w:hAnsi="Times New Roman" w:eastAsia="宋体" w:cs="Times New Roman"/>
          <w:color w:val="auto"/>
          <w:highlight w:val="none"/>
          <w:lang w:val="en-US" w:eastAsia="zh-CN"/>
        </w:rPr>
        <w:t>2.5.1.2-</w:t>
      </w:r>
      <w:r>
        <w:rPr>
          <w:rFonts w:hint="eastAsia" w:ascii="Times New Roman" w:cs="Times New Roman"/>
          <w:color w:val="auto"/>
          <w:highlight w:val="none"/>
          <w:lang w:val="en-US" w:eastAsia="zh-CN"/>
        </w:rPr>
        <w:t>9</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 xml:space="preserve">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预测结果一览表</w:t>
      </w:r>
    </w:p>
    <w:tbl>
      <w:tblPr>
        <w:tblStyle w:val="23"/>
        <w:tblW w:w="92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2"/>
        <w:gridCol w:w="1343"/>
        <w:gridCol w:w="1447"/>
        <w:gridCol w:w="1582"/>
        <w:gridCol w:w="1582"/>
        <w:gridCol w:w="15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17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污染源</w:t>
            </w: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项目</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最大占标率距离m</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最大占标率</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预测浓度</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mg/m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标准</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mg/m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82"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锅炉</w:t>
            </w: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PM</w:t>
            </w:r>
            <w:r>
              <w:rPr>
                <w:rFonts w:ascii="Times New Roman" w:hAnsi="Times New Roman" w:eastAsia="宋体" w:cs="Times New Roman"/>
                <w:caps w:val="0"/>
                <w:smallCaps w:val="0"/>
                <w:color w:val="auto"/>
                <w:spacing w:val="0"/>
                <w:w w:val="100"/>
                <w:position w:val="0"/>
                <w:sz w:val="21"/>
                <w:szCs w:val="21"/>
                <w:highlight w:val="none"/>
                <w:vertAlign w:val="subscript"/>
              </w:rPr>
              <w:t>10</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208</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0.01</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0.000025</w:t>
            </w:r>
          </w:p>
        </w:tc>
        <w:tc>
          <w:tcPr>
            <w:tcW w:w="1561" w:type="dxa"/>
            <w:vAlign w:val="center"/>
          </w:tcPr>
          <w:p>
            <w:pPr>
              <w:keepNext w:val="0"/>
              <w:keepLines w:val="0"/>
              <w:pageBreakBefore w:val="0"/>
              <w:widowControl w:val="0"/>
              <w:tabs>
                <w:tab w:val="right" w:pos="8306"/>
              </w:tabs>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8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208</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1.12</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0.005606</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8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208</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8.41</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0.016819</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82"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w:t>
            </w: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w:t>
            </w:r>
            <w:r>
              <w:rPr>
                <w:rFonts w:ascii="Times New Roman" w:hAnsi="Times New Roman" w:eastAsia="宋体" w:cs="Times New Roman"/>
                <w:caps w:val="0"/>
                <w:smallCaps w:val="0"/>
                <w:color w:val="auto"/>
                <w:spacing w:val="0"/>
                <w:w w:val="100"/>
                <w:position w:val="0"/>
                <w:sz w:val="21"/>
                <w:szCs w:val="21"/>
                <w:highlight w:val="none"/>
                <w:vertAlign w:val="subscript"/>
              </w:rPr>
              <w:t>3</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eastAsia="zh-CN"/>
              </w:rPr>
              <w:t>2</w:t>
            </w:r>
            <w:r>
              <w:rPr>
                <w:rFonts w:hint="eastAsia" w:cs="Times New Roman"/>
                <w:caps w:val="0"/>
                <w:smallCaps w:val="0"/>
                <w:color w:val="auto"/>
                <w:spacing w:val="0"/>
                <w:w w:val="100"/>
                <w:position w:val="0"/>
                <w:sz w:val="21"/>
                <w:szCs w:val="21"/>
                <w:highlight w:val="none"/>
                <w:lang w:val="en-US" w:eastAsia="zh-CN"/>
              </w:rPr>
              <w:t>13</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eastAsia="zh-CN"/>
              </w:rPr>
              <w:t>0</w:t>
            </w:r>
            <w:r>
              <w:rPr>
                <w:rFonts w:hint="eastAsia" w:cs="Times New Roman"/>
                <w:caps w:val="0"/>
                <w:smallCaps w:val="0"/>
                <w:color w:val="auto"/>
                <w:spacing w:val="0"/>
                <w:w w:val="100"/>
                <w:position w:val="0"/>
                <w:sz w:val="21"/>
                <w:szCs w:val="21"/>
                <w:highlight w:val="none"/>
                <w:lang w:val="en-US" w:eastAsia="zh-CN"/>
              </w:rPr>
              <w:t>.05</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0.00011</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8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213</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rPr>
              <w:t>0</w:t>
            </w:r>
            <w:r>
              <w:rPr>
                <w:rFonts w:hint="eastAsia" w:cs="Times New Roman"/>
                <w:caps w:val="0"/>
                <w:smallCaps w:val="0"/>
                <w:color w:val="auto"/>
                <w:spacing w:val="0"/>
                <w:w w:val="100"/>
                <w:position w:val="0"/>
                <w:sz w:val="21"/>
                <w:szCs w:val="21"/>
                <w:highlight w:val="none"/>
                <w:lang w:val="en-US" w:eastAsia="zh-CN"/>
              </w:rPr>
              <w:t>.04</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0.000004</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w:t>
            </w:r>
            <w:r>
              <w:rPr>
                <w:rFonts w:hint="eastAsia" w:cs="Times New Roman"/>
                <w:caps w:val="0"/>
                <w:smallCaps w:val="0"/>
                <w:color w:val="auto"/>
                <w:spacing w:val="0"/>
                <w:w w:val="100"/>
                <w:position w:val="0"/>
                <w:sz w:val="21"/>
                <w:szCs w:val="21"/>
                <w:highlight w:val="none"/>
                <w:lang w:val="en-US" w:eastAsia="zh-CN"/>
              </w:rPr>
              <w:t>0</w:t>
            </w:r>
            <w:r>
              <w:rPr>
                <w:rFonts w:ascii="Times New Roman" w:hAnsi="Times New Roman" w:eastAsia="宋体" w:cs="Times New Roman"/>
                <w:caps w:val="0"/>
                <w:smallCaps w:val="0"/>
                <w:color w:val="auto"/>
                <w:spacing w:val="0"/>
                <w:w w:val="100"/>
                <w:position w:val="0"/>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782"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矩形面源</w:t>
            </w: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w:t>
            </w:r>
            <w:r>
              <w:rPr>
                <w:rFonts w:ascii="Times New Roman" w:hAnsi="Times New Roman" w:eastAsia="宋体" w:cs="Times New Roman"/>
                <w:caps w:val="0"/>
                <w:smallCaps w:val="0"/>
                <w:color w:val="auto"/>
                <w:spacing w:val="0"/>
                <w:w w:val="100"/>
                <w:position w:val="0"/>
                <w:sz w:val="21"/>
                <w:szCs w:val="21"/>
                <w:highlight w:val="none"/>
                <w:vertAlign w:val="subscript"/>
              </w:rPr>
              <w:t>3</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175</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0.95</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olor w:val="auto"/>
                <w:w w:val="100"/>
                <w:sz w:val="21"/>
                <w:highlight w:val="none"/>
                <w:lang w:val="en-US" w:eastAsia="zh-CN"/>
              </w:rPr>
              <w:t>0.0019</w:t>
            </w:r>
          </w:p>
        </w:tc>
        <w:tc>
          <w:tcPr>
            <w:tcW w:w="1561" w:type="dxa"/>
            <w:vAlign w:val="center"/>
          </w:tcPr>
          <w:p>
            <w:pPr>
              <w:keepNext w:val="0"/>
              <w:keepLines w:val="0"/>
              <w:pageBreakBefore w:val="0"/>
              <w:widowControl w:val="0"/>
              <w:tabs>
                <w:tab w:val="right" w:pos="8306"/>
              </w:tabs>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178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3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w:t>
            </w:r>
          </w:p>
        </w:tc>
        <w:tc>
          <w:tcPr>
            <w:tcW w:w="14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175</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0.74</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olor w:val="auto"/>
                <w:w w:val="100"/>
                <w:sz w:val="21"/>
                <w:highlight w:val="none"/>
                <w:lang w:val="en-US" w:eastAsia="zh-CN"/>
              </w:rPr>
              <w:t>0.000003</w:t>
            </w:r>
          </w:p>
        </w:tc>
        <w:tc>
          <w:tcPr>
            <w:tcW w:w="1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0.01</w:t>
            </w:r>
          </w:p>
        </w:tc>
      </w:tr>
    </w:tbl>
    <w:p>
      <w:pPr>
        <w:bidi w:val="0"/>
        <w:ind w:firstLine="883"/>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由上表可知，锅炉</w:t>
      </w:r>
      <w:r>
        <w:rPr>
          <w:rFonts w:hint="eastAsia" w:cs="Times New Roman"/>
          <w:color w:val="auto"/>
          <w:highlight w:val="none"/>
          <w:lang w:val="en-US" w:eastAsia="zh-CN"/>
        </w:rPr>
        <w:t>排放的</w:t>
      </w:r>
      <w:r>
        <w:rPr>
          <w:rFonts w:hint="eastAsia" w:ascii="Times New Roman" w:hAnsi="Times New Roman" w:eastAsia="宋体" w:cs="Times New Roman"/>
          <w:color w:val="auto"/>
          <w:highlight w:val="none"/>
          <w:lang w:val="en-US" w:eastAsia="zh-CN"/>
        </w:rPr>
        <w:t>大气污染物、污水处理站</w:t>
      </w:r>
      <w:r>
        <w:rPr>
          <w:rFonts w:hint="eastAsia" w:cs="Times New Roman"/>
          <w:color w:val="auto"/>
          <w:highlight w:val="none"/>
          <w:lang w:val="en-US" w:eastAsia="zh-CN"/>
        </w:rPr>
        <w:t>排放的恶臭</w:t>
      </w:r>
      <w:r>
        <w:rPr>
          <w:rFonts w:hint="eastAsia" w:ascii="Times New Roman" w:hAnsi="Times New Roman" w:eastAsia="宋体" w:cs="Times New Roman"/>
          <w:color w:val="auto"/>
          <w:highlight w:val="none"/>
          <w:lang w:val="en-US" w:eastAsia="zh-CN"/>
        </w:rPr>
        <w:t>污染物最大落地浓度均未超过环境标准要求，</w:t>
      </w:r>
      <w:r>
        <w:rPr>
          <w:rFonts w:hint="eastAsia" w:ascii="Times New Roman" w:cs="Times New Roman"/>
          <w:color w:val="auto"/>
          <w:highlight w:val="none"/>
          <w:lang w:val="en-US" w:eastAsia="zh-CN"/>
        </w:rPr>
        <w:t>NO</w:t>
      </w:r>
      <w:r>
        <w:rPr>
          <w:rFonts w:hint="eastAsia" w:ascii="Times New Roman" w:cs="Times New Roman"/>
          <w:color w:val="auto"/>
          <w:highlight w:val="none"/>
          <w:vertAlign w:val="subscript"/>
          <w:lang w:val="en-US" w:eastAsia="zh-CN"/>
        </w:rPr>
        <w:t>2</w:t>
      </w:r>
      <w:r>
        <w:rPr>
          <w:rFonts w:hint="eastAsia" w:ascii="Times New Roman" w:hAnsi="Times New Roman" w:eastAsia="宋体" w:cs="Times New Roman"/>
          <w:color w:val="auto"/>
          <w:highlight w:val="none"/>
          <w:lang w:val="en-US" w:eastAsia="zh-CN"/>
        </w:rPr>
        <w:t>最大地面浓度占标率</w:t>
      </w:r>
      <w:r>
        <w:rPr>
          <w:rFonts w:hint="eastAsia" w:ascii="Times New Roman" w:cs="Times New Roman"/>
          <w:color w:val="auto"/>
          <w:highlight w:val="none"/>
          <w:lang w:val="en-US" w:eastAsia="zh-CN"/>
        </w:rPr>
        <w:t>为8.41%，</w:t>
      </w:r>
      <w:r>
        <w:rPr>
          <w:rFonts w:hint="eastAsia" w:ascii="Times New Roman" w:hAnsi="Times New Roman" w:eastAsia="宋体" w:cs="Times New Roman"/>
          <w:color w:val="auto"/>
          <w:highlight w:val="none"/>
          <w:lang w:val="en-US" w:eastAsia="zh-CN"/>
        </w:rPr>
        <w:t>小于10%，故评价等级确定为二级评价，评价范围</w:t>
      </w:r>
      <w:r>
        <w:rPr>
          <w:rFonts w:hint="eastAsia" w:cs="Times New Roman"/>
          <w:color w:val="auto"/>
          <w:highlight w:val="none"/>
          <w:lang w:val="en-US" w:eastAsia="zh-CN"/>
        </w:rPr>
        <w:t>取以厂址为中心，边长5</w:t>
      </w:r>
      <w:r>
        <w:rPr>
          <w:rFonts w:hint="eastAsia" w:ascii="Times New Roman" w:hAnsi="Times New Roman" w:eastAsia="宋体" w:cs="Times New Roman"/>
          <w:color w:val="auto"/>
          <w:highlight w:val="none"/>
          <w:lang w:val="en-US" w:eastAsia="zh-CN"/>
        </w:rPr>
        <w:t>km</w:t>
      </w:r>
      <w:r>
        <w:rPr>
          <w:rFonts w:hint="eastAsia" w:cs="Times New Roman"/>
          <w:color w:val="auto"/>
          <w:highlight w:val="none"/>
          <w:lang w:val="en-US" w:eastAsia="zh-CN"/>
        </w:rPr>
        <w:t>矩</w:t>
      </w:r>
      <w:r>
        <w:rPr>
          <w:rFonts w:hint="eastAsia" w:ascii="Times New Roman" w:hAnsi="Times New Roman" w:eastAsia="宋体" w:cs="Times New Roman"/>
          <w:color w:val="auto"/>
          <w:highlight w:val="none"/>
          <w:lang w:val="en-US" w:eastAsia="zh-CN"/>
        </w:rPr>
        <w:t>形区域范围。</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4" w:name="_Toc29638"/>
      <w:r>
        <w:rPr>
          <w:rFonts w:hint="eastAsia" w:ascii="Times New Roman" w:hAnsi="Times New Roman" w:eastAsia="宋体" w:cs="Times New Roman"/>
          <w:b/>
          <w:bCs/>
          <w:color w:val="auto"/>
          <w:szCs w:val="20"/>
          <w:highlight w:val="none"/>
          <w:lang w:val="en-US" w:eastAsia="zh-CN" w:bidi="ar-SA"/>
        </w:rPr>
        <w:t>2.5.1.3</w:t>
      </w:r>
      <w:r>
        <w:rPr>
          <w:rFonts w:hint="eastAsia" w:ascii="Times New Roman" w:hAnsi="Times New Roman" w:eastAsia="宋体" w:cs="Times New Roman"/>
          <w:b/>
          <w:bCs/>
          <w:color w:val="auto"/>
          <w:szCs w:val="20"/>
          <w:highlight w:val="none"/>
          <w:lang w:val="en-US" w:bidi="ar-SA"/>
        </w:rPr>
        <w:t>声环境影响评价等级</w:t>
      </w:r>
      <w:bookmarkEnd w:id="134"/>
    </w:p>
    <w:p>
      <w:pPr>
        <w:bidi w:val="0"/>
        <w:ind w:firstLine="883"/>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根据《环境影响评价技术导则  声环境》（HJ2.4-20</w:t>
      </w:r>
      <w:r>
        <w:rPr>
          <w:rFonts w:hint="eastAsia" w:ascii="Times New Roman" w:cs="Times New Roman"/>
          <w:color w:val="auto"/>
          <w:highlight w:val="none"/>
          <w:lang w:val="en-US" w:eastAsia="zh-CN"/>
        </w:rPr>
        <w:t>21</w:t>
      </w:r>
      <w:r>
        <w:rPr>
          <w:rFonts w:hint="eastAsia" w:ascii="Times New Roman" w:hAnsi="Times New Roman" w:eastAsia="宋体" w:cs="Times New Roman"/>
          <w:color w:val="auto"/>
          <w:highlight w:val="none"/>
          <w:lang w:val="en-US" w:eastAsia="zh-CN"/>
        </w:rPr>
        <w:t>）中规定的声环境影响评价工作等级划分的基本原则，本项目为</w:t>
      </w:r>
      <w:r>
        <w:rPr>
          <w:rFonts w:hint="eastAsia" w:ascii="Times New Roman" w:cs="Times New Roman"/>
          <w:color w:val="auto"/>
          <w:highlight w:val="none"/>
          <w:lang w:val="en-US" w:eastAsia="zh-CN"/>
        </w:rPr>
        <w:t>改造</w:t>
      </w:r>
      <w:r>
        <w:rPr>
          <w:rFonts w:hint="eastAsia" w:ascii="Times New Roman" w:hAnsi="Times New Roman" w:eastAsia="宋体" w:cs="Times New Roman"/>
          <w:color w:val="auto"/>
          <w:highlight w:val="none"/>
          <w:lang w:val="en-US" w:eastAsia="zh-CN"/>
        </w:rPr>
        <w:t>项目，其选址所属区域声环境执行</w:t>
      </w: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类标准，项目建设前后噪声级增加较小且项目周围200m范围内无敏感目标，受影响人口无变化，因此，确定声环境影响评价工作等级为</w:t>
      </w:r>
      <w:r>
        <w:rPr>
          <w:rFonts w:hint="eastAsia" w:cs="Times New Roman"/>
          <w:color w:val="auto"/>
          <w:highlight w:val="none"/>
          <w:lang w:val="en-US" w:eastAsia="zh-CN"/>
        </w:rPr>
        <w:t>三</w:t>
      </w:r>
      <w:r>
        <w:rPr>
          <w:rFonts w:hint="eastAsia" w:ascii="Times New Roman" w:hAnsi="Times New Roman" w:eastAsia="宋体" w:cs="Times New Roman"/>
          <w:color w:val="auto"/>
          <w:highlight w:val="none"/>
          <w:lang w:val="en-US" w:eastAsia="zh-CN"/>
        </w:rPr>
        <w:t>级。</w:t>
      </w:r>
    </w:p>
    <w:p>
      <w:pPr>
        <w:bidi w:val="0"/>
        <w:ind w:firstLine="883"/>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表2.5.1.3-1               声环境影响评价等级及其划分依据</w:t>
      </w:r>
    </w:p>
    <w:tbl>
      <w:tblPr>
        <w:tblStyle w:val="23"/>
        <w:tblW w:w="8919"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940"/>
        <w:gridCol w:w="2461"/>
        <w:gridCol w:w="2608"/>
        <w:gridCol w:w="1910"/>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94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工作等级</w:t>
            </w:r>
          </w:p>
        </w:tc>
        <w:tc>
          <w:tcPr>
            <w:tcW w:w="6979"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划分依据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94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4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声环境功能区域</w:t>
            </w:r>
          </w:p>
        </w:tc>
        <w:tc>
          <w:tcPr>
            <w:tcW w:w="260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敏感目标噪声级增高量</w:t>
            </w:r>
          </w:p>
        </w:tc>
        <w:tc>
          <w:tcPr>
            <w:tcW w:w="19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受影响人口数量</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9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24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0类</w:t>
            </w:r>
          </w:p>
        </w:tc>
        <w:tc>
          <w:tcPr>
            <w:tcW w:w="260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＞5dB</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A</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9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显著增多</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9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24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1类、2类</w:t>
            </w:r>
          </w:p>
        </w:tc>
        <w:tc>
          <w:tcPr>
            <w:tcW w:w="260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3～5dB</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A</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9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增加较多</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5" w:hRule="atLeast"/>
          <w:jc w:val="center"/>
        </w:trPr>
        <w:tc>
          <w:tcPr>
            <w:tcW w:w="19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24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3类、4类</w:t>
            </w:r>
          </w:p>
        </w:tc>
        <w:tc>
          <w:tcPr>
            <w:tcW w:w="260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＜3dB</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A</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9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变化不大</w:t>
            </w:r>
          </w:p>
        </w:tc>
      </w:tr>
    </w:tbl>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厂界噪声评价范围为厂界外</w:t>
      </w:r>
      <w:r>
        <w:rPr>
          <w:rFonts w:hint="eastAsia" w:cs="Times New Roman"/>
          <w:color w:val="auto"/>
          <w:highlight w:val="none"/>
          <w:lang w:eastAsia="zh-CN"/>
        </w:rPr>
        <w:t>延</w:t>
      </w:r>
      <w:r>
        <w:rPr>
          <w:rFonts w:ascii="Times New Roman" w:hAnsi="Times New Roman" w:eastAsia="宋体" w:cs="Times New Roman"/>
          <w:color w:val="auto"/>
          <w:highlight w:val="none"/>
        </w:rPr>
        <w:t>200m</w:t>
      </w:r>
      <w:r>
        <w:rPr>
          <w:rFonts w:hint="eastAsia" w:cs="Times New Roman"/>
          <w:color w:val="auto"/>
          <w:highlight w:val="none"/>
          <w:lang w:eastAsia="zh-CN"/>
        </w:rPr>
        <w:t>范围</w:t>
      </w:r>
      <w:r>
        <w:rPr>
          <w:rFonts w:ascii="Times New Roman" w:hAnsi="Times New Roman" w:eastAsia="宋体" w:cs="Times New Roman"/>
          <w:color w:val="auto"/>
          <w:highlight w:val="none"/>
        </w:rPr>
        <w:t>。</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5" w:name="_Toc26654"/>
      <w:r>
        <w:rPr>
          <w:rFonts w:hint="eastAsia" w:ascii="Times New Roman" w:hAnsi="Times New Roman" w:eastAsia="宋体" w:cs="Times New Roman"/>
          <w:b/>
          <w:bCs/>
          <w:color w:val="auto"/>
          <w:szCs w:val="20"/>
          <w:highlight w:val="none"/>
          <w:lang w:val="en-US" w:eastAsia="zh-CN" w:bidi="ar-SA"/>
        </w:rPr>
        <w:t>2.5.1.4</w:t>
      </w:r>
      <w:r>
        <w:rPr>
          <w:rFonts w:hint="eastAsia" w:ascii="Times New Roman" w:hAnsi="Times New Roman" w:eastAsia="宋体" w:cs="Times New Roman"/>
          <w:b/>
          <w:bCs/>
          <w:color w:val="auto"/>
          <w:szCs w:val="20"/>
          <w:highlight w:val="none"/>
          <w:lang w:val="en-US" w:bidi="ar-SA"/>
        </w:rPr>
        <w:t>固体废物</w:t>
      </w:r>
      <w:bookmarkEnd w:id="135"/>
    </w:p>
    <w:p>
      <w:pPr>
        <w:bidi w:val="0"/>
        <w:ind w:firstLine="883"/>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重点分析固体废物性质及处置措施是否满足固体废物处置的“减量化、资源化、无害化”原则。</w:t>
      </w:r>
      <w:r>
        <w:rPr>
          <w:rFonts w:hint="eastAsia" w:ascii="Times New Roman" w:cs="Times New Roman"/>
          <w:color w:val="auto"/>
          <w:highlight w:val="none"/>
          <w:lang w:val="en-US" w:eastAsia="zh-CN"/>
        </w:rPr>
        <w:t>分析危险废物的产生、收集、暂存、处置是否满足标准要求。</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6" w:name="_Toc2828"/>
      <w:r>
        <w:rPr>
          <w:rFonts w:hint="eastAsia" w:ascii="Times New Roman" w:hAnsi="Times New Roman" w:eastAsia="宋体" w:cs="Times New Roman"/>
          <w:b/>
          <w:bCs/>
          <w:color w:val="auto"/>
          <w:szCs w:val="20"/>
          <w:highlight w:val="none"/>
          <w:lang w:val="en-US" w:eastAsia="zh-CN" w:bidi="ar-SA"/>
        </w:rPr>
        <w:t>2.5.1.5</w:t>
      </w:r>
      <w:r>
        <w:rPr>
          <w:rFonts w:hint="eastAsia" w:ascii="Times New Roman" w:hAnsi="Times New Roman" w:eastAsia="宋体" w:cs="Times New Roman"/>
          <w:b/>
          <w:bCs/>
          <w:color w:val="auto"/>
          <w:szCs w:val="20"/>
          <w:highlight w:val="none"/>
          <w:lang w:val="en-US" w:bidi="ar-SA"/>
        </w:rPr>
        <w:t>环境风险评价等级</w:t>
      </w:r>
      <w:bookmarkEnd w:id="136"/>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根据《建设项目环境风险评价技术导则》（HJ169-2018）附录B进行分析判定，本项目涉及</w:t>
      </w:r>
      <w:r>
        <w:rPr>
          <w:rFonts w:hint="eastAsia" w:ascii="Times New Roman" w:cs="Times New Roman"/>
          <w:color w:val="auto"/>
          <w:sz w:val="24"/>
          <w:highlight w:val="none"/>
          <w:lang w:val="en-US" w:eastAsia="zh-CN"/>
        </w:rPr>
        <w:t>环境风险</w:t>
      </w:r>
      <w:r>
        <w:rPr>
          <w:rFonts w:hint="eastAsia" w:ascii="Times New Roman" w:hAnsi="Times New Roman" w:eastAsia="宋体" w:cs="Times New Roman"/>
          <w:color w:val="auto"/>
          <w:sz w:val="24"/>
          <w:highlight w:val="none"/>
          <w:lang w:val="en-US" w:eastAsia="zh-CN"/>
        </w:rPr>
        <w:t>物质主要为润滑油</w:t>
      </w:r>
      <w:r>
        <w:rPr>
          <w:rFonts w:hint="eastAsia" w:ascii="Times New Roman" w:cs="Times New Roman"/>
          <w:color w:val="auto"/>
          <w:sz w:val="24"/>
          <w:highlight w:val="none"/>
          <w:lang w:val="en-US" w:eastAsia="zh-CN"/>
        </w:rPr>
        <w:t>（油类物质）</w:t>
      </w: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润滑油储存于机修间内</w:t>
      </w:r>
      <w:r>
        <w:rPr>
          <w:rFonts w:hint="eastAsia" w:ascii="Times New Roman" w:hAnsi="Times New Roman" w:eastAsia="宋体" w:cs="Times New Roman"/>
          <w:color w:val="auto"/>
          <w:sz w:val="24"/>
          <w:highlight w:val="none"/>
          <w:lang w:val="en-US" w:eastAsia="zh-CN"/>
        </w:rPr>
        <w:t>。</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项目环境风险评价技术导则》（HJ169-2018）规定：环境风险评价工作等级划分为一级、二级、三级。根据建设项目涉及的物质及工艺系统危险性和所在地的环境敏感性确定环境风险潜势。风险潜势为Ⅳ及以上，进行一级评价；风险潜势为Ⅲ，进行二级评价；风险潜势为Ⅱ，进行三级评价；风险潜势为Ⅰ，可开展简单分析。</w:t>
      </w:r>
    </w:p>
    <w:p>
      <w:pPr>
        <w:bidi w:val="0"/>
        <w:ind w:firstLine="1028"/>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本项目危险物质主要为润滑油，最大存在总量约为0.1t。</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①危险物质数量与临界量的比值（Q）</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表2.5.1.5-1          本项目环境风险物质数量、临界量及其比值（Q）</w:t>
      </w:r>
    </w:p>
    <w:p>
      <w:pPr>
        <w:spacing w:line="30" w:lineRule="exact"/>
        <w:rPr>
          <w:rFonts w:ascii="Times New Roman" w:hAnsi="Times New Roman" w:eastAsia="宋体" w:cs="Times New Roman"/>
          <w:caps w:val="0"/>
          <w:smallCaps w:val="0"/>
          <w:color w:val="auto"/>
          <w:spacing w:val="0"/>
          <w:w w:val="99"/>
          <w:position w:val="0"/>
          <w:highlight w:val="none"/>
        </w:rPr>
      </w:pPr>
    </w:p>
    <w:tbl>
      <w:tblPr>
        <w:tblStyle w:val="28"/>
        <w:tblW w:w="939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90"/>
        <w:gridCol w:w="1771"/>
        <w:gridCol w:w="1404"/>
        <w:gridCol w:w="2504"/>
        <w:gridCol w:w="1571"/>
        <w:gridCol w:w="125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0" w:hRule="atLeast"/>
          <w:jc w:val="center"/>
        </w:trPr>
        <w:tc>
          <w:tcPr>
            <w:tcW w:w="8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17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危险物质名称</w:t>
            </w:r>
          </w:p>
        </w:tc>
        <w:tc>
          <w:tcPr>
            <w:tcW w:w="14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CAS号</w:t>
            </w:r>
          </w:p>
        </w:tc>
        <w:tc>
          <w:tcPr>
            <w:tcW w:w="25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最大存在总量q</w:t>
            </w:r>
            <w:r>
              <w:rPr>
                <w:rFonts w:ascii="Times New Roman" w:hAnsi="Times New Roman" w:eastAsia="宋体" w:cs="Times New Roman"/>
                <w:caps w:val="0"/>
                <w:smallCaps w:val="0"/>
                <w:color w:val="auto"/>
                <w:spacing w:val="0"/>
                <w:w w:val="100"/>
                <w:position w:val="0"/>
                <w:sz w:val="21"/>
                <w:szCs w:val="21"/>
                <w:highlight w:val="none"/>
                <w:vertAlign w:val="subscript"/>
              </w:rPr>
              <w:t>n</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5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临界量Q</w:t>
            </w:r>
            <w:r>
              <w:rPr>
                <w:rFonts w:ascii="Times New Roman" w:hAnsi="Times New Roman" w:eastAsia="宋体" w:cs="Times New Roman"/>
                <w:caps w:val="0"/>
                <w:smallCaps w:val="0"/>
                <w:color w:val="auto"/>
                <w:spacing w:val="0"/>
                <w:w w:val="100"/>
                <w:position w:val="0"/>
                <w:sz w:val="21"/>
                <w:szCs w:val="21"/>
                <w:highlight w:val="none"/>
                <w:vertAlign w:val="subscript"/>
              </w:rPr>
              <w:t>n</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w:t>
            </w:r>
          </w:p>
        </w:tc>
        <w:tc>
          <w:tcPr>
            <w:tcW w:w="12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Q值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8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17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润滑油</w:t>
            </w:r>
          </w:p>
        </w:tc>
        <w:tc>
          <w:tcPr>
            <w:tcW w:w="14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25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0.1</w:t>
            </w:r>
          </w:p>
        </w:tc>
        <w:tc>
          <w:tcPr>
            <w:tcW w:w="15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w:t>
            </w:r>
          </w:p>
        </w:tc>
        <w:tc>
          <w:tcPr>
            <w:tcW w:w="12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19" w:hRule="atLeast"/>
          <w:jc w:val="center"/>
        </w:trPr>
        <w:tc>
          <w:tcPr>
            <w:tcW w:w="814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本项目Q值</w:t>
            </w:r>
          </w:p>
        </w:tc>
        <w:tc>
          <w:tcPr>
            <w:tcW w:w="12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w:t>
            </w:r>
            <w:r>
              <w:rPr>
                <w:rFonts w:hint="eastAsia" w:ascii="Times New Roman" w:cs="Times New Roman"/>
                <w:caps w:val="0"/>
                <w:smallCaps w:val="0"/>
                <w:color w:val="auto"/>
                <w:spacing w:val="0"/>
                <w:w w:val="100"/>
                <w:position w:val="0"/>
                <w:sz w:val="21"/>
                <w:szCs w:val="21"/>
                <w:highlight w:val="none"/>
                <w:lang w:val="en-US" w:eastAsia="zh-CN"/>
              </w:rPr>
              <w:t>4</w:t>
            </w:r>
          </w:p>
        </w:tc>
      </w:tr>
    </w:tbl>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根据《建设项目环境风险评价技术导则》HJ169-2018中附录C，当Q＜1时，项目环境风险潜势为Ⅰ。</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②环境风险评价等级</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本项目环境风险评价等级划分见表2.5.1.5-2。</w:t>
      </w:r>
    </w:p>
    <w:p>
      <w:pPr>
        <w:bidi w:val="0"/>
        <w:ind w:firstLine="1028"/>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表2.5.1.5-2            环境风险评价工作等级划分表</w:t>
      </w:r>
    </w:p>
    <w:p>
      <w:pPr>
        <w:spacing w:line="63" w:lineRule="exact"/>
        <w:rPr>
          <w:rFonts w:ascii="Times New Roman" w:hAnsi="Times New Roman" w:eastAsia="宋体" w:cs="Times New Roman"/>
          <w:caps w:val="0"/>
          <w:smallCaps w:val="0"/>
          <w:color w:val="auto"/>
          <w:spacing w:val="0"/>
          <w:w w:val="99"/>
          <w:position w:val="0"/>
          <w:highlight w:val="none"/>
        </w:rPr>
      </w:pPr>
    </w:p>
    <w:tbl>
      <w:tblPr>
        <w:tblStyle w:val="28"/>
        <w:tblW w:w="915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22"/>
        <w:gridCol w:w="1517"/>
        <w:gridCol w:w="1819"/>
        <w:gridCol w:w="1819"/>
        <w:gridCol w:w="188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7" w:hRule="atLeast"/>
          <w:jc w:val="center"/>
        </w:trPr>
        <w:tc>
          <w:tcPr>
            <w:tcW w:w="2122" w:type="dxa"/>
            <w:tcBorders>
              <w:top w:val="single" w:color="000000" w:sz="12" w:space="0"/>
              <w:lef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环境风险潜势</w:t>
            </w:r>
          </w:p>
        </w:tc>
        <w:tc>
          <w:tcPr>
            <w:tcW w:w="1517"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Ⅳ、Ⅳ+</w:t>
            </w:r>
          </w:p>
        </w:tc>
        <w:tc>
          <w:tcPr>
            <w:tcW w:w="1819"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Ⅲ</w:t>
            </w:r>
          </w:p>
        </w:tc>
        <w:tc>
          <w:tcPr>
            <w:tcW w:w="1819"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Ⅱ</w:t>
            </w:r>
          </w:p>
        </w:tc>
        <w:tc>
          <w:tcPr>
            <w:tcW w:w="1880" w:type="dxa"/>
            <w:tcBorders>
              <w:top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jc w:val="center"/>
        </w:trPr>
        <w:tc>
          <w:tcPr>
            <w:tcW w:w="2122" w:type="dxa"/>
            <w:tcBorders>
              <w:left w:val="nil"/>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评价工作等级</w:t>
            </w:r>
          </w:p>
        </w:tc>
        <w:tc>
          <w:tcPr>
            <w:tcW w:w="1517"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w:t>
            </w:r>
          </w:p>
        </w:tc>
        <w:tc>
          <w:tcPr>
            <w:tcW w:w="181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w:t>
            </w:r>
          </w:p>
        </w:tc>
        <w:tc>
          <w:tcPr>
            <w:tcW w:w="1819"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w:t>
            </w:r>
          </w:p>
        </w:tc>
        <w:tc>
          <w:tcPr>
            <w:tcW w:w="1880" w:type="dxa"/>
            <w:tcBorders>
              <w:bottom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简单分析</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根据表2.5.1.5-2可知，本项目环境风险评价工作等级为简单分析。本项目环境风险进行简单分析，根据《建设项目环境风险评价技术导则》HJ169-2018</w:t>
      </w:r>
      <w:r>
        <w:rPr>
          <w:rFonts w:hint="eastAsia" w:asci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无需设置评价范围。</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37" w:name="_Toc4564"/>
      <w:r>
        <w:rPr>
          <w:rFonts w:hint="eastAsia" w:ascii="Times New Roman" w:hAnsi="Times New Roman" w:eastAsia="宋体" w:cs="Times New Roman"/>
          <w:b/>
          <w:bCs/>
          <w:color w:val="auto"/>
          <w:szCs w:val="20"/>
          <w:highlight w:val="none"/>
          <w:lang w:val="en-US" w:eastAsia="zh-CN" w:bidi="ar-SA"/>
        </w:rPr>
        <w:t>2.5.1.6</w:t>
      </w:r>
      <w:r>
        <w:rPr>
          <w:rFonts w:hint="eastAsia" w:ascii="Times New Roman" w:hAnsi="Times New Roman" w:eastAsia="宋体" w:cs="Times New Roman"/>
          <w:b/>
          <w:bCs/>
          <w:color w:val="auto"/>
          <w:szCs w:val="20"/>
          <w:highlight w:val="none"/>
          <w:lang w:val="en-US" w:bidi="ar-SA"/>
        </w:rPr>
        <w:t>地下水评价等级</w:t>
      </w:r>
      <w:bookmarkEnd w:id="137"/>
    </w:p>
    <w:p>
      <w:pPr>
        <w:bidi w:val="0"/>
        <w:rPr>
          <w:rFonts w:ascii="Times New Roman" w:hAnsi="Times New Roman" w:eastAsia="宋体" w:cs="Times New Roman"/>
          <w:b w:val="0"/>
          <w:bCs/>
          <w:caps w:val="0"/>
          <w:smallCaps w:val="0"/>
          <w:color w:val="auto"/>
          <w:spacing w:val="0"/>
          <w:w w:val="99"/>
          <w:position w:val="0"/>
          <w:highlight w:val="none"/>
        </w:rPr>
      </w:pPr>
      <w:r>
        <w:rPr>
          <w:color w:val="auto"/>
          <w:highlight w:val="none"/>
        </w:rPr>
        <w:t>根据《环境影响评价技术导则—地下水环境》</w:t>
      </w:r>
      <w:r>
        <w:rPr>
          <w:rFonts w:hint="eastAsia"/>
          <w:color w:val="auto"/>
          <w:highlight w:val="none"/>
          <w:lang w:eastAsia="zh-CN"/>
        </w:rPr>
        <w:t>（</w:t>
      </w:r>
      <w:r>
        <w:rPr>
          <w:color w:val="auto"/>
          <w:highlight w:val="none"/>
        </w:rPr>
        <w:t>HJ610-2016）附录A，本项目属于112造纸，此项目地下水环境影响评价项目类别为</w:t>
      </w:r>
      <w:r>
        <w:rPr>
          <w:color w:val="auto"/>
          <w:highlight w:val="none"/>
        </w:rPr>
        <w:fldChar w:fldCharType="begin"/>
      </w:r>
      <w:r>
        <w:rPr>
          <w:color w:val="auto"/>
          <w:highlight w:val="none"/>
        </w:rPr>
        <w:instrText xml:space="preserve"> = 2 \* ROMAN \* MERGEFORMAT </w:instrText>
      </w:r>
      <w:r>
        <w:rPr>
          <w:color w:val="auto"/>
          <w:highlight w:val="none"/>
        </w:rPr>
        <w:fldChar w:fldCharType="separate"/>
      </w:r>
      <w:r>
        <w:rPr>
          <w:color w:val="auto"/>
          <w:highlight w:val="none"/>
        </w:rPr>
        <w:t>II</w:t>
      </w:r>
      <w:r>
        <w:rPr>
          <w:color w:val="auto"/>
          <w:highlight w:val="none"/>
        </w:rPr>
        <w:fldChar w:fldCharType="end"/>
      </w:r>
      <w:r>
        <w:rPr>
          <w:color w:val="auto"/>
          <w:highlight w:val="none"/>
        </w:rPr>
        <w:t>类项目，地下水评价等级判定依据见下表。</w:t>
      </w:r>
    </w:p>
    <w:p>
      <w:pPr>
        <w:bidi w:val="0"/>
        <w:ind w:firstLine="883"/>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2.5.1.6-1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地下水环境敏感程度分级</w:t>
      </w:r>
    </w:p>
    <w:tbl>
      <w:tblPr>
        <w:tblStyle w:val="23"/>
        <w:tblW w:w="94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9"/>
        <w:gridCol w:w="82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13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分级</w:t>
            </w:r>
          </w:p>
        </w:tc>
        <w:tc>
          <w:tcPr>
            <w:tcW w:w="828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项目场地的地下水环境敏感程度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113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敏感</w:t>
            </w:r>
          </w:p>
        </w:tc>
        <w:tc>
          <w:tcPr>
            <w:tcW w:w="828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集中式饮用水水源地</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包括已建成的在用、备用、应急水源地，在建和规划的水源地）准保护区；除集中式饮用水水源地以外的国家或地方政府设定的与地下水环境相关的其它保护区，如热水、矿泉水、温泉等特殊地下水资源保护区。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1" w:hRule="atLeast"/>
          <w:jc w:val="center"/>
        </w:trPr>
        <w:tc>
          <w:tcPr>
            <w:tcW w:w="113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较敏感</w:t>
            </w:r>
          </w:p>
        </w:tc>
        <w:tc>
          <w:tcPr>
            <w:tcW w:w="828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集中式饮用水水源地</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包括已建成的在用、备用、应急水源地，在建和规划的水源地）准保护区以外的补给径流区；未规定准保护区的集中式饮用水水源，其保护区以外的补给径流区；分散式饮用水水源地；特殊地下水资源</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如矿泉水、温泉等）保护区以外的分布区等其它未列入上述敏感分级的环境敏感区。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3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不敏感</w:t>
            </w:r>
          </w:p>
        </w:tc>
        <w:tc>
          <w:tcPr>
            <w:tcW w:w="828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上述地区之外的其它地区。</w:t>
            </w:r>
          </w:p>
        </w:tc>
      </w:tr>
    </w:tbl>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2.5.1.6-2</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评价工作等级分级表</w:t>
      </w:r>
    </w:p>
    <w:tbl>
      <w:tblPr>
        <w:tblStyle w:val="23"/>
        <w:tblW w:w="95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9"/>
        <w:gridCol w:w="2471"/>
        <w:gridCol w:w="2471"/>
        <w:gridCol w:w="24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1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Ⅰ类项目</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Ⅱ类项目</w:t>
            </w:r>
          </w:p>
        </w:tc>
        <w:tc>
          <w:tcPr>
            <w:tcW w:w="24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Ⅲ类项目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1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敏感</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w:t>
            </w:r>
          </w:p>
        </w:tc>
        <w:tc>
          <w:tcPr>
            <w:tcW w:w="24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1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较敏感</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w:t>
            </w:r>
          </w:p>
        </w:tc>
        <w:tc>
          <w:tcPr>
            <w:tcW w:w="24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21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不敏感</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w:t>
            </w:r>
          </w:p>
        </w:tc>
        <w:tc>
          <w:tcPr>
            <w:tcW w:w="247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w:t>
            </w:r>
          </w:p>
        </w:tc>
        <w:tc>
          <w:tcPr>
            <w:tcW w:w="24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w:t>
            </w:r>
          </w:p>
        </w:tc>
      </w:tr>
    </w:tbl>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 xml:space="preserve">2.5.1.6-3              </w:t>
      </w:r>
      <w:r>
        <w:rPr>
          <w:rFonts w:ascii="Times New Roman" w:hAnsi="Times New Roman" w:eastAsia="宋体" w:cs="Times New Roman"/>
          <w:color w:val="auto"/>
          <w:highlight w:val="none"/>
        </w:rPr>
        <w:t>本项目地下水</w:t>
      </w:r>
      <w:r>
        <w:rPr>
          <w:rFonts w:hint="eastAsia" w:ascii="Times New Roman" w:hAnsi="Times New Roman" w:eastAsia="宋体" w:cs="Times New Roman"/>
          <w:color w:val="auto"/>
          <w:highlight w:val="none"/>
          <w:lang w:eastAsia="zh-CN"/>
        </w:rPr>
        <w:t>环境</w:t>
      </w:r>
      <w:r>
        <w:rPr>
          <w:rFonts w:ascii="Times New Roman" w:hAnsi="Times New Roman" w:eastAsia="宋体" w:cs="Times New Roman"/>
          <w:color w:val="auto"/>
          <w:highlight w:val="none"/>
        </w:rPr>
        <w:t>影响评价等级判定表</w:t>
      </w:r>
    </w:p>
    <w:tbl>
      <w:tblPr>
        <w:tblStyle w:val="23"/>
        <w:tblW w:w="94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2840"/>
        <w:gridCol w:w="2185"/>
        <w:gridCol w:w="3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28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项目</w:t>
            </w:r>
          </w:p>
        </w:tc>
        <w:tc>
          <w:tcPr>
            <w:tcW w:w="218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类别</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28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地下水环境敏感程度</w:t>
            </w:r>
          </w:p>
        </w:tc>
        <w:tc>
          <w:tcPr>
            <w:tcW w:w="218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不</w:t>
            </w:r>
            <w:r>
              <w:rPr>
                <w:rFonts w:ascii="Times New Roman" w:hAnsi="Times New Roman" w:eastAsia="宋体" w:cs="Times New Roman"/>
                <w:caps w:val="0"/>
                <w:smallCaps w:val="0"/>
                <w:color w:val="auto"/>
                <w:spacing w:val="0"/>
                <w:w w:val="100"/>
                <w:position w:val="0"/>
                <w:sz w:val="21"/>
                <w:szCs w:val="21"/>
                <w:highlight w:val="none"/>
              </w:rPr>
              <w:t>敏感</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spacing w:val="-6"/>
                <w:sz w:val="21"/>
                <w:szCs w:val="21"/>
              </w:rPr>
              <w:t>其所在区域未涉及集中饮用水水源准保护区</w:t>
            </w:r>
            <w:r>
              <w:rPr>
                <w:spacing w:val="-4"/>
                <w:sz w:val="21"/>
                <w:szCs w:val="21"/>
              </w:rPr>
              <w:t>及准保护区以外的补给径流区，未涉及特殊地下水资源保护区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81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w:t>
            </w:r>
          </w:p>
        </w:tc>
        <w:tc>
          <w:tcPr>
            <w:tcW w:w="284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本项目类别</w:t>
            </w:r>
          </w:p>
        </w:tc>
        <w:tc>
          <w:tcPr>
            <w:tcW w:w="218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II类</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造纸</w:t>
            </w:r>
          </w:p>
        </w:tc>
      </w:tr>
    </w:tbl>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本项目属于II类项目，且位于</w:t>
      </w:r>
      <w:r>
        <w:rPr>
          <w:rFonts w:hint="eastAsia" w:cs="Times New Roman"/>
          <w:color w:val="auto"/>
          <w:highlight w:val="none"/>
          <w:lang w:eastAsia="zh-CN"/>
        </w:rPr>
        <w:t>不</w:t>
      </w:r>
      <w:r>
        <w:rPr>
          <w:rFonts w:ascii="Times New Roman" w:hAnsi="Times New Roman" w:eastAsia="宋体" w:cs="Times New Roman"/>
          <w:color w:val="auto"/>
          <w:highlight w:val="none"/>
        </w:rPr>
        <w:t>敏感区域，对照表</w:t>
      </w:r>
      <w:r>
        <w:rPr>
          <w:rFonts w:hint="eastAsia" w:ascii="Times New Roman" w:hAnsi="Times New Roman" w:eastAsia="宋体" w:cs="Times New Roman"/>
          <w:color w:val="auto"/>
          <w:highlight w:val="none"/>
          <w:lang w:val="en-US" w:eastAsia="zh-CN"/>
        </w:rPr>
        <w:t>2.5.1.6-1</w:t>
      </w:r>
      <w:r>
        <w:rPr>
          <w:rFonts w:ascii="Times New Roman" w:hAnsi="Times New Roman" w:eastAsia="宋体" w:cs="Times New Roman"/>
          <w:color w:val="auto"/>
          <w:highlight w:val="none"/>
        </w:rPr>
        <w:t>和表</w:t>
      </w:r>
      <w:r>
        <w:rPr>
          <w:rFonts w:hint="eastAsia" w:ascii="Times New Roman" w:hAnsi="Times New Roman" w:eastAsia="宋体" w:cs="Times New Roman"/>
          <w:color w:val="auto"/>
          <w:highlight w:val="none"/>
          <w:lang w:val="en-US" w:eastAsia="zh-CN"/>
        </w:rPr>
        <w:t>2.5.1.6-2</w:t>
      </w:r>
      <w:r>
        <w:rPr>
          <w:rFonts w:ascii="Times New Roman" w:hAnsi="Times New Roman" w:eastAsia="宋体" w:cs="Times New Roman"/>
          <w:color w:val="auto"/>
          <w:highlight w:val="none"/>
        </w:rPr>
        <w:t>可知本项目地下水评价等级为</w:t>
      </w:r>
      <w:r>
        <w:rPr>
          <w:rFonts w:hint="eastAsia" w:cs="Times New Roman"/>
          <w:color w:val="auto"/>
          <w:highlight w:val="none"/>
          <w:lang w:eastAsia="zh-CN"/>
        </w:rPr>
        <w:t>三</w:t>
      </w:r>
      <w:r>
        <w:rPr>
          <w:rFonts w:ascii="Times New Roman" w:hAnsi="Times New Roman" w:eastAsia="宋体" w:cs="Times New Roman"/>
          <w:color w:val="auto"/>
          <w:highlight w:val="none"/>
        </w:rPr>
        <w:t>级。</w:t>
      </w:r>
    </w:p>
    <w:p>
      <w:pPr>
        <w:keepNext/>
        <w:keepLines/>
        <w:pageBreakBefore w:val="0"/>
        <w:widowControl w:val="0"/>
        <w:numPr>
          <w:ilvl w:val="0"/>
          <w:numId w:val="0"/>
        </w:numPr>
        <w:kinsoku/>
        <w:wordWrap/>
        <w:overflowPunct/>
        <w:topLinePunct w:val="0"/>
        <w:autoSpaceDE/>
        <w:autoSpaceDN/>
        <w:bidi w:val="0"/>
        <w:adjustRightInd/>
        <w:snapToGrid/>
        <w:spacing w:before="0" w:after="0" w:line="500" w:lineRule="exact"/>
        <w:ind w:left="0" w:right="0" w:firstLine="0"/>
        <w:jc w:val="both"/>
        <w:textAlignment w:val="auto"/>
        <w:outlineLvl w:val="9"/>
        <w:rPr>
          <w:rFonts w:hint="eastAsia" w:ascii="Times New Roman" w:hAnsi="Times New Roman" w:eastAsia="宋体" w:cs="Times New Roman"/>
          <w:b/>
          <w:bCs w:val="0"/>
          <w:color w:val="auto"/>
          <w:sz w:val="28"/>
          <w:szCs w:val="20"/>
          <w:highlight w:val="none"/>
          <w:lang w:val="en-US" w:bidi="ar-SA"/>
        </w:rPr>
      </w:pPr>
      <w:r>
        <w:rPr>
          <w:rFonts w:hint="eastAsia" w:ascii="Times New Roman" w:hAnsi="Times New Roman" w:eastAsia="宋体" w:cs="Times New Roman"/>
          <w:b/>
          <w:bCs w:val="0"/>
          <w:color w:val="auto"/>
          <w:sz w:val="28"/>
          <w:szCs w:val="20"/>
          <w:highlight w:val="none"/>
          <w:lang w:val="en-US" w:eastAsia="zh-CN" w:bidi="ar-SA"/>
        </w:rPr>
        <w:t>2.5.1.6.1</w:t>
      </w:r>
      <w:r>
        <w:rPr>
          <w:rFonts w:hint="eastAsia" w:ascii="Times New Roman" w:hAnsi="Times New Roman" w:eastAsia="宋体" w:cs="Times New Roman"/>
          <w:b/>
          <w:bCs w:val="0"/>
          <w:color w:val="auto"/>
          <w:sz w:val="28"/>
          <w:szCs w:val="20"/>
          <w:highlight w:val="none"/>
          <w:lang w:val="en-US" w:bidi="ar-SA"/>
        </w:rPr>
        <w:t>评价范围</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根据地下水质点运移距离计算公式：</w:t>
      </w:r>
    </w:p>
    <w:p>
      <w:pPr>
        <w:spacing w:line="240" w:lineRule="auto"/>
        <w:rPr>
          <w:rFonts w:hint="eastAsia" w:ascii="Times New Roman" w:hAnsi="Times New Roman" w:eastAsia="宋体" w:cs="Times New Roman"/>
          <w:bCs/>
          <w:caps w:val="0"/>
          <w:smallCaps w:val="0"/>
          <w:color w:val="auto"/>
          <w:spacing w:val="0"/>
          <w:w w:val="99"/>
          <w:position w:val="0"/>
          <w:sz w:val="24"/>
          <w:highlight w:val="none"/>
          <w:lang w:eastAsia="zh-CN"/>
        </w:rPr>
      </w:pPr>
      <w:r>
        <w:rPr>
          <w:rFonts w:hint="eastAsia" w:ascii="Times New Roman" w:hAnsi="Times New Roman" w:eastAsia="宋体" w:cs="Times New Roman"/>
          <w:bCs/>
          <w:caps w:val="0"/>
          <w:smallCaps w:val="0"/>
          <w:color w:val="auto"/>
          <w:spacing w:val="0"/>
          <w:w w:val="99"/>
          <w:position w:val="0"/>
          <w:sz w:val="24"/>
          <w:highlight w:val="none"/>
          <w:lang w:eastAsia="zh-CN"/>
        </w:rPr>
        <w:drawing>
          <wp:inline distT="0" distB="0" distL="114300" distR="114300">
            <wp:extent cx="1647825" cy="361950"/>
            <wp:effectExtent l="0" t="0" r="9525" b="0"/>
            <wp:docPr id="14" name="图片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11"/>
                    <pic:cNvPicPr>
                      <a:picLocks noChangeAspect="1"/>
                    </pic:cNvPicPr>
                  </pic:nvPicPr>
                  <pic:blipFill>
                    <a:blip r:embed="rId22"/>
                    <a:stretch>
                      <a:fillRect/>
                    </a:stretch>
                  </pic:blipFill>
                  <pic:spPr>
                    <a:xfrm>
                      <a:off x="0" y="0"/>
                      <a:ext cx="1647825" cy="361950"/>
                    </a:xfrm>
                    <a:prstGeom prst="rect">
                      <a:avLst/>
                    </a:prstGeom>
                    <a:noFill/>
                    <a:ln>
                      <a:noFill/>
                    </a:ln>
                  </pic:spPr>
                </pic:pic>
              </a:graphicData>
            </a:graphic>
          </wp:inline>
        </w:drawing>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式中</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L—下游迁移距离，m；</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α—变化系数，α≥1，一般取2；</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K—渗透系数，m/d，常见渗透系数查附录B表B.1获取，取10；</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I—水力坡度，无量纲，取0.4%</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T—质点迁移天数，5000d</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ne—有效孔隙度，无量纲，取0.</w:t>
      </w:r>
      <w:r>
        <w:rPr>
          <w:rFonts w:hint="eastAsia" w:ascii="Times New Roman" w:hAnsi="Times New Roman" w:eastAsia="宋体" w:cs="Times New Roman"/>
          <w:color w:val="auto"/>
          <w:highlight w:val="none"/>
        </w:rPr>
        <w:t>465</w:t>
      </w:r>
      <w:r>
        <w:rPr>
          <w:rFonts w:ascii="Times New Roman" w:hAnsi="Times New Roman" w:eastAsia="宋体" w:cs="Times New Roman"/>
          <w:color w:val="auto"/>
          <w:highlight w:val="none"/>
        </w:rPr>
        <w:t>。</w:t>
      </w:r>
    </w:p>
    <w:p>
      <w:pPr>
        <w:bidi w:val="0"/>
        <w:ind w:firstLine="1028"/>
        <w:rPr>
          <w:rFonts w:ascii="Times New Roman" w:hAnsi="Times New Roman" w:eastAsia="宋体" w:cs="Times New Roman"/>
          <w:color w:val="auto"/>
          <w:highlight w:val="none"/>
        </w:rPr>
      </w:pPr>
      <w:bookmarkStart w:id="138" w:name="_bookmark30"/>
      <w:bookmarkEnd w:id="138"/>
      <w:bookmarkStart w:id="139" w:name="_bookmark30"/>
      <w:bookmarkEnd w:id="139"/>
      <w:bookmarkStart w:id="140" w:name="_Toc143082755"/>
      <w:r>
        <w:rPr>
          <w:rFonts w:ascii="Times New Roman" w:hAnsi="Times New Roman" w:eastAsia="宋体" w:cs="Times New Roman"/>
          <w:color w:val="auto"/>
          <w:highlight w:val="none"/>
        </w:rPr>
        <w:t>经计算，L＝</w:t>
      </w:r>
      <w:r>
        <w:rPr>
          <w:rFonts w:hint="eastAsia" w:ascii="Times New Roman" w:hAnsi="Times New Roman" w:eastAsia="宋体" w:cs="Times New Roman"/>
          <w:color w:val="auto"/>
          <w:highlight w:val="none"/>
        </w:rPr>
        <w:t>860</w:t>
      </w:r>
      <w:r>
        <w:rPr>
          <w:rFonts w:ascii="Times New Roman" w:hAnsi="Times New Roman" w:eastAsia="宋体" w:cs="Times New Roman"/>
          <w:color w:val="auto"/>
          <w:highlight w:val="none"/>
        </w:rPr>
        <w:t>m，场地两侧距离均为L/2</w:t>
      </w:r>
      <w:r>
        <w:rPr>
          <w:rFonts w:hint="eastAsia" w:ascii="Times New Roman" w:hAnsi="Times New Roman" w:eastAsia="宋体" w:cs="Times New Roman"/>
          <w:color w:val="auto"/>
          <w:highlight w:val="none"/>
        </w:rPr>
        <w:t>为430m</w:t>
      </w:r>
      <w:r>
        <w:rPr>
          <w:rFonts w:ascii="Times New Roman" w:hAnsi="Times New Roman" w:eastAsia="宋体" w:cs="Times New Roman"/>
          <w:color w:val="auto"/>
          <w:highlight w:val="none"/>
        </w:rPr>
        <w:t>，上游距离为</w:t>
      </w:r>
      <w:r>
        <w:rPr>
          <w:rFonts w:hint="eastAsia" w:ascii="Times New Roman" w:hAnsi="Times New Roman" w:eastAsia="宋体" w:cs="Times New Roman"/>
          <w:color w:val="auto"/>
          <w:highlight w:val="none"/>
          <w:lang w:val="en-US" w:eastAsia="zh-CN"/>
        </w:rPr>
        <w:t>440m</w:t>
      </w:r>
      <w:r>
        <w:rPr>
          <w:rFonts w:ascii="Times New Roman" w:hAnsi="Times New Roman" w:eastAsia="宋体" w:cs="Times New Roman"/>
          <w:color w:val="auto"/>
          <w:highlight w:val="none"/>
        </w:rPr>
        <w:t xml:space="preserve">。根据《环境影响评价技术导则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地下水环境》</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HJ610-2016）要求，地下水的评价范围应为场地下游L</w:t>
      </w:r>
      <w:r>
        <w:rPr>
          <w:rFonts w:hint="eastAsia" w:cs="Times New Roman"/>
          <w:color w:val="auto"/>
          <w:highlight w:val="none"/>
          <w:lang w:eastAsia="zh-CN"/>
        </w:rPr>
        <w:t>（</w:t>
      </w:r>
      <w:r>
        <w:rPr>
          <w:rFonts w:hint="eastAsia" w:cs="Times New Roman"/>
          <w:color w:val="auto"/>
          <w:highlight w:val="none"/>
          <w:lang w:val="en-US" w:eastAsia="zh-CN"/>
        </w:rPr>
        <w:t>860</w:t>
      </w:r>
      <w:r>
        <w:rPr>
          <w:rFonts w:ascii="Times New Roman" w:hAnsi="Times New Roman" w:eastAsia="宋体" w:cs="Times New Roman"/>
          <w:color w:val="auto"/>
          <w:highlight w:val="none"/>
        </w:rPr>
        <w:t>m</w:t>
      </w:r>
      <w:r>
        <w:rPr>
          <w:rFonts w:hint="eastAsia" w:cs="Times New Roman"/>
          <w:color w:val="auto"/>
          <w:highlight w:val="none"/>
          <w:lang w:eastAsia="zh-CN"/>
        </w:rPr>
        <w:t>）</w:t>
      </w:r>
      <w:r>
        <w:rPr>
          <w:rFonts w:ascii="Times New Roman" w:hAnsi="Times New Roman" w:eastAsia="宋体" w:cs="Times New Roman"/>
          <w:color w:val="auto"/>
          <w:highlight w:val="none"/>
        </w:rPr>
        <w:t>及两侧各L/2m</w:t>
      </w:r>
      <w:r>
        <w:rPr>
          <w:rFonts w:hint="eastAsia" w:cs="Times New Roman"/>
          <w:color w:val="auto"/>
          <w:highlight w:val="none"/>
          <w:lang w:eastAsia="zh-CN"/>
        </w:rPr>
        <w:t>（</w:t>
      </w:r>
      <w:r>
        <w:rPr>
          <w:rFonts w:hint="eastAsia" w:cs="Times New Roman"/>
          <w:color w:val="auto"/>
          <w:highlight w:val="none"/>
          <w:lang w:val="en-US" w:eastAsia="zh-CN"/>
        </w:rPr>
        <w:t>430</w:t>
      </w:r>
      <w:r>
        <w:rPr>
          <w:rFonts w:ascii="Times New Roman" w:hAnsi="Times New Roman" w:eastAsia="宋体" w:cs="Times New Roman"/>
          <w:color w:val="auto"/>
          <w:highlight w:val="none"/>
        </w:rPr>
        <w:t>m</w:t>
      </w:r>
      <w:r>
        <w:rPr>
          <w:rFonts w:hint="eastAsia" w:cs="Times New Roman"/>
          <w:color w:val="auto"/>
          <w:highlight w:val="none"/>
          <w:lang w:eastAsia="zh-CN"/>
        </w:rPr>
        <w:t>）</w:t>
      </w:r>
      <w:r>
        <w:rPr>
          <w:rFonts w:ascii="Times New Roman" w:hAnsi="Times New Roman" w:eastAsia="宋体" w:cs="Times New Roman"/>
          <w:color w:val="auto"/>
          <w:highlight w:val="none"/>
        </w:rPr>
        <w:t>构成的区域范围。根据项目所在地区域水文地质资料表明，该区域地下水潜水含水层为孔隙潜水，地下水流向由东北向西南。因评价等级为</w:t>
      </w:r>
      <w:r>
        <w:rPr>
          <w:rFonts w:hint="eastAsia" w:cs="Times New Roman"/>
          <w:color w:val="auto"/>
          <w:highlight w:val="none"/>
          <w:lang w:eastAsia="zh-CN"/>
        </w:rPr>
        <w:t>三</w:t>
      </w:r>
      <w:r>
        <w:rPr>
          <w:rFonts w:ascii="Times New Roman" w:hAnsi="Times New Roman" w:eastAsia="宋体" w:cs="Times New Roman"/>
          <w:color w:val="auto"/>
          <w:highlight w:val="none"/>
        </w:rPr>
        <w:t>级评价，适当扩大范围由此确定本项目地下水调查评价范围见图</w:t>
      </w:r>
      <w:r>
        <w:rPr>
          <w:rFonts w:hint="eastAsia" w:ascii="Times New Roman" w:hAnsi="Times New Roman" w:eastAsia="宋体" w:cs="Times New Roman"/>
          <w:color w:val="auto"/>
          <w:highlight w:val="none"/>
          <w:lang w:val="en-US" w:eastAsia="zh-CN"/>
        </w:rPr>
        <w:t>2.5.3-2</w:t>
      </w:r>
      <w:r>
        <w:rPr>
          <w:rFonts w:ascii="Times New Roman" w:hAnsi="Times New Roman" w:eastAsia="宋体" w:cs="Times New Roman"/>
          <w:color w:val="auto"/>
          <w:highlight w:val="none"/>
        </w:rPr>
        <w:t>。</w:t>
      </w:r>
      <w:bookmarkEnd w:id="140"/>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41" w:name="_Toc8313"/>
      <w:r>
        <w:rPr>
          <w:rFonts w:hint="eastAsia" w:ascii="Times New Roman" w:hAnsi="Times New Roman" w:eastAsia="宋体" w:cs="Times New Roman"/>
          <w:b/>
          <w:bCs/>
          <w:color w:val="auto"/>
          <w:szCs w:val="20"/>
          <w:highlight w:val="none"/>
          <w:lang w:val="en-US" w:eastAsia="zh-CN" w:bidi="ar-SA"/>
        </w:rPr>
        <w:t>2.5.1.7</w:t>
      </w:r>
      <w:r>
        <w:rPr>
          <w:rFonts w:hint="eastAsia" w:ascii="Times New Roman" w:hAnsi="Times New Roman" w:eastAsia="宋体" w:cs="Times New Roman"/>
          <w:b/>
          <w:bCs/>
          <w:color w:val="auto"/>
          <w:szCs w:val="20"/>
          <w:highlight w:val="none"/>
          <w:lang w:val="en-US" w:bidi="ar-SA"/>
        </w:rPr>
        <w:t>土壤环境评价等级</w:t>
      </w:r>
      <w:bookmarkEnd w:id="141"/>
    </w:p>
    <w:p>
      <w:pPr>
        <w:bidi w:val="0"/>
        <w:ind w:firstLine="1028"/>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根据《环境影响评价技术导则 土壤环境</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试行）》</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HJ964-2018）</w:t>
      </w:r>
      <w:r>
        <w:rPr>
          <w:rFonts w:ascii="Times New Roman" w:hAnsi="Times New Roman" w:eastAsia="宋体" w:cs="Times New Roman"/>
          <w:color w:val="auto"/>
          <w:highlight w:val="none"/>
        </w:rPr>
        <w:t>附录A，本项目属于</w:t>
      </w:r>
      <w:r>
        <w:rPr>
          <w:rFonts w:hint="eastAsia" w:ascii="Times New Roman" w:hAnsi="Times New Roman" w:eastAsia="宋体" w:cs="Times New Roman"/>
          <w:color w:val="auto"/>
          <w:highlight w:val="none"/>
          <w:lang w:eastAsia="zh-CN"/>
        </w:rPr>
        <w:t>制造业中造纸和纸制品中“纸浆、溶解浆、纤维浆等制造；造纸（含制浆工艺）”</w:t>
      </w:r>
      <w:r>
        <w:rPr>
          <w:rFonts w:ascii="Times New Roman" w:hAnsi="Times New Roman" w:eastAsia="宋体" w:cs="Times New Roman"/>
          <w:color w:val="auto"/>
          <w:highlight w:val="none"/>
        </w:rPr>
        <w:t>此项目</w:t>
      </w:r>
      <w:r>
        <w:rPr>
          <w:rFonts w:hint="eastAsia" w:ascii="Times New Roman" w:hAnsi="Times New Roman" w:eastAsia="宋体" w:cs="Times New Roman"/>
          <w:color w:val="auto"/>
          <w:highlight w:val="none"/>
          <w:lang w:eastAsia="zh-CN"/>
        </w:rPr>
        <w:t>土壤</w:t>
      </w:r>
      <w:r>
        <w:rPr>
          <w:rFonts w:ascii="Times New Roman" w:hAnsi="Times New Roman" w:eastAsia="宋体" w:cs="Times New Roman"/>
          <w:color w:val="auto"/>
          <w:highlight w:val="none"/>
        </w:rPr>
        <w:t>环境影响评价项目类别为</w:t>
      </w:r>
      <w:r>
        <w:rPr>
          <w:rFonts w:ascii="Times New Roman" w:hAnsi="Times New Roman" w:eastAsia="宋体" w:cs="Times New Roman"/>
          <w:color w:val="auto"/>
          <w:highlight w:val="none"/>
        </w:rPr>
        <w:fldChar w:fldCharType="begin"/>
      </w:r>
      <w:r>
        <w:rPr>
          <w:rFonts w:ascii="Times New Roman" w:hAnsi="Times New Roman" w:eastAsia="宋体" w:cs="Times New Roman"/>
          <w:color w:val="auto"/>
          <w:highlight w:val="none"/>
        </w:rPr>
        <w:instrText xml:space="preserve"> = 2 \* ROMAN \* MERGEFORMAT </w:instrText>
      </w:r>
      <w:r>
        <w:rPr>
          <w:rFonts w:ascii="Times New Roman" w:hAnsi="Times New Roman" w:eastAsia="宋体" w:cs="Times New Roman"/>
          <w:color w:val="auto"/>
          <w:highlight w:val="none"/>
        </w:rPr>
        <w:fldChar w:fldCharType="separate"/>
      </w:r>
      <w:r>
        <w:rPr>
          <w:rFonts w:ascii="Times New Roman" w:hAnsi="Times New Roman" w:eastAsia="宋体" w:cs="Times New Roman"/>
          <w:color w:val="auto"/>
          <w:highlight w:val="none"/>
        </w:rPr>
        <w:t>II</w:t>
      </w:r>
      <w:r>
        <w:rPr>
          <w:rFonts w:ascii="Times New Roman" w:hAnsi="Times New Roman" w:eastAsia="宋体" w:cs="Times New Roman"/>
          <w:color w:val="auto"/>
          <w:highlight w:val="none"/>
        </w:rPr>
        <w:fldChar w:fldCharType="end"/>
      </w:r>
      <w:r>
        <w:rPr>
          <w:rFonts w:ascii="Times New Roman" w:hAnsi="Times New Roman" w:eastAsia="宋体" w:cs="Times New Roman"/>
          <w:color w:val="auto"/>
          <w:highlight w:val="none"/>
        </w:rPr>
        <w:t>类项目</w:t>
      </w:r>
      <w:r>
        <w:rPr>
          <w:rFonts w:hint="eastAsia" w:ascii="Times New Roman" w:hAnsi="Times New Roman" w:eastAsia="宋体" w:cs="Times New Roman"/>
          <w:color w:val="auto"/>
          <w:highlight w:val="none"/>
          <w:lang w:eastAsia="zh-CN"/>
        </w:rPr>
        <w:t>，土壤</w:t>
      </w:r>
      <w:r>
        <w:rPr>
          <w:rFonts w:ascii="Times New Roman" w:hAnsi="Times New Roman" w:eastAsia="宋体" w:cs="Times New Roman"/>
          <w:color w:val="auto"/>
          <w:highlight w:val="none"/>
        </w:rPr>
        <w:t>评价等级判定依据见下表。</w:t>
      </w:r>
    </w:p>
    <w:p>
      <w:pPr>
        <w:bidi w:val="0"/>
        <w:ind w:firstLine="1028"/>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2.5.1.7-1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污染影响性敏感程度分级表</w:t>
      </w:r>
    </w:p>
    <w:tbl>
      <w:tblPr>
        <w:tblStyle w:val="23"/>
        <w:tblW w:w="93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81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1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分级</w:t>
            </w:r>
          </w:p>
        </w:tc>
        <w:tc>
          <w:tcPr>
            <w:tcW w:w="819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项目场地的地下水环境敏感程度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11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敏感</w:t>
            </w:r>
          </w:p>
        </w:tc>
        <w:tc>
          <w:tcPr>
            <w:tcW w:w="819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11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较敏感</w:t>
            </w:r>
          </w:p>
        </w:tc>
        <w:tc>
          <w:tcPr>
            <w:tcW w:w="819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11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不敏感</w:t>
            </w:r>
          </w:p>
        </w:tc>
        <w:tc>
          <w:tcPr>
            <w:tcW w:w="8192"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其他情况</w:t>
            </w:r>
            <w:r>
              <w:rPr>
                <w:rFonts w:ascii="Times New Roman" w:hAnsi="Times New Roman" w:eastAsia="宋体" w:cs="Times New Roman"/>
                <w:caps w:val="0"/>
                <w:smallCaps w:val="0"/>
                <w:color w:val="auto"/>
                <w:spacing w:val="0"/>
                <w:w w:val="100"/>
                <w:position w:val="0"/>
                <w:sz w:val="21"/>
                <w:szCs w:val="21"/>
                <w:highlight w:val="none"/>
              </w:rPr>
              <w:t>。</w:t>
            </w:r>
          </w:p>
        </w:tc>
      </w:tr>
    </w:tbl>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w:t>
      </w:r>
      <w:r>
        <w:rPr>
          <w:rFonts w:hint="eastAsia" w:ascii="Times New Roman" w:hAnsi="Times New Roman" w:eastAsia="宋体" w:cs="Times New Roman"/>
          <w:color w:val="auto"/>
          <w:highlight w:val="none"/>
          <w:lang w:val="en-US" w:eastAsia="zh-CN"/>
        </w:rPr>
        <w:t>2.5.1.7-2</w:t>
      </w:r>
      <w:r>
        <w:rPr>
          <w:rFonts w:hint="eastAsia" w:ascii="Times New Roman" w:hAnsi="Times New Roman" w:eastAsia="宋体" w:cs="Times New Roman"/>
          <w:color w:val="auto"/>
          <w:highlight w:val="none"/>
          <w:lang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土壤环境污染影响型评价工作等级划分表</w:t>
      </w:r>
    </w:p>
    <w:p>
      <w:pPr>
        <w:spacing w:line="63" w:lineRule="exact"/>
        <w:rPr>
          <w:rFonts w:ascii="Times New Roman" w:hAnsi="Times New Roman" w:eastAsia="宋体" w:cs="Times New Roman"/>
          <w:caps w:val="0"/>
          <w:smallCaps w:val="0"/>
          <w:color w:val="auto"/>
          <w:spacing w:val="0"/>
          <w:w w:val="99"/>
          <w:position w:val="0"/>
          <w:highlight w:val="none"/>
        </w:rPr>
      </w:pPr>
    </w:p>
    <w:tbl>
      <w:tblPr>
        <w:tblStyle w:val="28"/>
        <w:tblW w:w="939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630"/>
        <w:gridCol w:w="751"/>
        <w:gridCol w:w="752"/>
        <w:gridCol w:w="753"/>
        <w:gridCol w:w="752"/>
        <w:gridCol w:w="752"/>
        <w:gridCol w:w="757"/>
        <w:gridCol w:w="752"/>
        <w:gridCol w:w="744"/>
        <w:gridCol w:w="75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4" w:hRule="atLeast"/>
          <w:jc w:val="center"/>
        </w:trPr>
        <w:tc>
          <w:tcPr>
            <w:tcW w:w="263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mc:AlternateContent>
                <mc:Choice Requires="wps">
                  <w:drawing>
                    <wp:anchor distT="0" distB="0" distL="114300" distR="114300" simplePos="0" relativeHeight="251666432" behindDoc="0" locked="0" layoutInCell="1" allowOverlap="1">
                      <wp:simplePos x="0" y="0"/>
                      <wp:positionH relativeFrom="column">
                        <wp:posOffset>-189230</wp:posOffset>
                      </wp:positionH>
                      <wp:positionV relativeFrom="paragraph">
                        <wp:posOffset>270510</wp:posOffset>
                      </wp:positionV>
                      <wp:extent cx="952500" cy="323850"/>
                      <wp:effectExtent l="0" t="0" r="0" b="0"/>
                      <wp:wrapNone/>
                      <wp:docPr id="5" name="文本框 5"/>
                      <wp:cNvGraphicFramePr/>
                      <a:graphic xmlns:a="http://schemas.openxmlformats.org/drawingml/2006/main">
                        <a:graphicData uri="http://schemas.microsoft.com/office/word/2010/wordprocessingShape">
                          <wps:wsp>
                            <wps:cNvSpPr txBox="1"/>
                            <wps:spPr>
                              <a:xfrm>
                                <a:off x="0" y="0"/>
                                <a:ext cx="952500" cy="3238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lang w:val="en-US" w:eastAsia="zh-CN"/>
                                    </w:rPr>
                                  </w:pPr>
                                  <w:r>
                                    <w:rPr>
                                      <w:rFonts w:hint="eastAsia" w:ascii="Times New Roman" w:hAnsi="Times New Roman" w:eastAsia="宋体" w:cs="Times New Roman"/>
                                      <w:caps w:val="0"/>
                                      <w:smallCaps w:val="0"/>
                                      <w:color w:val="auto"/>
                                      <w:spacing w:val="0"/>
                                      <w:w w:val="100"/>
                                      <w:position w:val="0"/>
                                      <w:sz w:val="21"/>
                                      <w:szCs w:val="21"/>
                                      <w:lang w:val="en-US" w:eastAsia="zh-CN"/>
                                    </w:rPr>
                                    <w:t>敏感程度</w:t>
                                  </w:r>
                                </w:p>
                              </w:txbxContent>
                            </wps:txbx>
                            <wps:bodyPr upright="1"/>
                          </wps:wsp>
                        </a:graphicData>
                      </a:graphic>
                    </wp:anchor>
                  </w:drawing>
                </mc:Choice>
                <mc:Fallback>
                  <w:pict>
                    <v:shape id="_x0000_s1026" o:spid="_x0000_s1026" o:spt="202" type="#_x0000_t202" style="position:absolute;left:0pt;margin-left:-14.9pt;margin-top:21.3pt;height:25.5pt;width:75pt;z-index:251666432;mso-width-relative:page;mso-height-relative:page;" filled="f" stroked="f" coordsize="21600,21600" o:gfxdata="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jnFJDbAAAACQEAAA8AAAAAAAAAAQAgAAAAIgAAAGRycy9kb3ducmV2LnhtbFBLAQIUABQA&#10;AAAIAIdO4kCM0T2LtAEAAFcDAAAOAAAAAAAAAAEAIAAAACoBAABkcnMvZTJvRG9jLnhtbFBLBQYA&#10;AAAABgAGAFkBAABQ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lang w:val="en-US" w:eastAsia="zh-CN"/>
                              </w:rPr>
                            </w:pPr>
                            <w:r>
                              <w:rPr>
                                <w:rFonts w:hint="eastAsia" w:ascii="Times New Roman" w:hAnsi="Times New Roman" w:eastAsia="宋体" w:cs="Times New Roman"/>
                                <w:caps w:val="0"/>
                                <w:smallCaps w:val="0"/>
                                <w:color w:val="auto"/>
                                <w:spacing w:val="0"/>
                                <w:w w:val="100"/>
                                <w:position w:val="0"/>
                                <w:sz w:val="21"/>
                                <w:szCs w:val="21"/>
                                <w:lang w:val="en-US" w:eastAsia="zh-CN"/>
                              </w:rPr>
                              <w:t>敏感程度</w:t>
                            </w:r>
                          </w:p>
                        </w:txbxContent>
                      </v:textbox>
                    </v:shape>
                  </w:pict>
                </mc:Fallback>
              </mc:AlternateContent>
            </w:r>
            <w:r>
              <w:rPr>
                <w:rFonts w:ascii="Times New Roman" w:hAnsi="Times New Roman" w:eastAsia="宋体" w:cs="Times New Roman"/>
                <w:caps w:val="0"/>
                <w:smallCaps w:val="0"/>
                <w:color w:val="auto"/>
                <w:spacing w:val="0"/>
                <w:w w:val="100"/>
                <w:position w:val="0"/>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-33655</wp:posOffset>
                      </wp:positionH>
                      <wp:positionV relativeFrom="paragraph">
                        <wp:posOffset>83185</wp:posOffset>
                      </wp:positionV>
                      <wp:extent cx="952500" cy="333375"/>
                      <wp:effectExtent l="0" t="0" r="0" b="0"/>
                      <wp:wrapNone/>
                      <wp:docPr id="6" name="文本框 6"/>
                      <wp:cNvGraphicFramePr/>
                      <a:graphic xmlns:a="http://schemas.openxmlformats.org/drawingml/2006/main">
                        <a:graphicData uri="http://schemas.microsoft.com/office/word/2010/wordprocessingShape">
                          <wps:wsp>
                            <wps:cNvSpPr txBox="1"/>
                            <wps:spPr>
                              <a:xfrm>
                                <a:off x="0" y="0"/>
                                <a:ext cx="952500" cy="333375"/>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lang w:val="en-US" w:eastAsia="zh-CN"/>
                                    </w:rPr>
                                  </w:pPr>
                                  <w:r>
                                    <w:rPr>
                                      <w:rFonts w:hint="eastAsia" w:ascii="Times New Roman" w:hAnsi="Times New Roman" w:eastAsia="宋体" w:cs="Times New Roman"/>
                                      <w:caps w:val="0"/>
                                      <w:smallCaps w:val="0"/>
                                      <w:color w:val="auto"/>
                                      <w:spacing w:val="0"/>
                                      <w:w w:val="100"/>
                                      <w:position w:val="0"/>
                                      <w:sz w:val="21"/>
                                      <w:szCs w:val="21"/>
                                      <w:lang w:val="en-US" w:eastAsia="zh-CN"/>
                                    </w:rPr>
                                    <w:t>评价等级</w:t>
                                  </w:r>
                                </w:p>
                              </w:txbxContent>
                            </wps:txbx>
                            <wps:bodyPr upright="1"/>
                          </wps:wsp>
                        </a:graphicData>
                      </a:graphic>
                    </wp:anchor>
                  </w:drawing>
                </mc:Choice>
                <mc:Fallback>
                  <w:pict>
                    <v:shape id="_x0000_s1026" o:spid="_x0000_s1026" o:spt="202" type="#_x0000_t202" style="position:absolute;left:0pt;margin-left:-2.65pt;margin-top:6.55pt;height:26.25pt;width:75pt;z-index:251665408;mso-width-relative:page;mso-height-relative:page;" filled="f" stroked="f" coordsize="21600,21600" o:gfxdata="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cAhY7aAAAACAEAAA8AAAAAAAAAAQAgAAAAIgAAAGRycy9kb3ducmV2LnhtbFBLAQIUABQAAAAI&#10;AIdO4kBeq5M9sgEAAFcDAAAOAAAAAAAAAAEAIAAAACkBAABkcnMvZTJvRG9jLnhtbFBLBQYAAAAA&#10;BgAGAFkBAABN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lang w:val="en-US" w:eastAsia="zh-CN"/>
                              </w:rPr>
                            </w:pPr>
                            <w:r>
                              <w:rPr>
                                <w:rFonts w:hint="eastAsia" w:ascii="Times New Roman" w:hAnsi="Times New Roman" w:eastAsia="宋体" w:cs="Times New Roman"/>
                                <w:caps w:val="0"/>
                                <w:smallCaps w:val="0"/>
                                <w:color w:val="auto"/>
                                <w:spacing w:val="0"/>
                                <w:w w:val="100"/>
                                <w:position w:val="0"/>
                                <w:sz w:val="21"/>
                                <w:szCs w:val="21"/>
                                <w:lang w:val="en-US" w:eastAsia="zh-CN"/>
                              </w:rPr>
                              <w:t>评价等级</w:t>
                            </w:r>
                          </w:p>
                        </w:txbxContent>
                      </v:textbox>
                    </v:shape>
                  </w:pict>
                </mc:Fallback>
              </mc:AlternateContent>
            </w:r>
            <w:r>
              <w:rPr>
                <w:rFonts w:ascii="Times New Roman" w:hAnsi="Times New Roman" w:eastAsia="宋体" w:cs="Times New Roman"/>
                <w:caps w:val="0"/>
                <w:smallCaps w:val="0"/>
                <w:color w:val="auto"/>
                <w:spacing w:val="0"/>
                <w:w w:val="100"/>
                <w:position w:val="0"/>
                <w:sz w:val="21"/>
                <w:szCs w:val="21"/>
                <w:highlight w:val="none"/>
              </w:rPr>
              <mc:AlternateContent>
                <mc:Choice Requires="wps">
                  <w:drawing>
                    <wp:anchor distT="0" distB="0" distL="114300" distR="114300" simplePos="0" relativeHeight="251663360" behindDoc="0" locked="0" layoutInCell="1" allowOverlap="1">
                      <wp:simplePos x="0" y="0"/>
                      <wp:positionH relativeFrom="column">
                        <wp:posOffset>163195</wp:posOffset>
                      </wp:positionH>
                      <wp:positionV relativeFrom="paragraph">
                        <wp:posOffset>-1270</wp:posOffset>
                      </wp:positionV>
                      <wp:extent cx="1435100" cy="539750"/>
                      <wp:effectExtent l="1905" t="4445" r="10795" b="8255"/>
                      <wp:wrapNone/>
                      <wp:docPr id="7" name="直接连接符 7"/>
                      <wp:cNvGraphicFramePr/>
                      <a:graphic xmlns:a="http://schemas.openxmlformats.org/drawingml/2006/main">
                        <a:graphicData uri="http://schemas.microsoft.com/office/word/2010/wordprocessingShape">
                          <wps:wsp>
                            <wps:cNvCnPr/>
                            <wps:spPr>
                              <a:xfrm flipH="1" flipV="1">
                                <a:off x="0" y="0"/>
                                <a:ext cx="1435100" cy="539750"/>
                              </a:xfrm>
                              <a:prstGeom prst="line">
                                <a:avLst/>
                              </a:prstGeom>
                              <a:ln w="6350" cap="flat" cmpd="dbl">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12.85pt;margin-top:-0.1pt;height:42.5pt;width:113pt;z-index:251663360;mso-width-relative:page;mso-height-relative:page;" filled="f" stroked="t" coordsize="21600,21600" o:gfxdata="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&#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hHhG3WAAAABwEAAA8AAAAAAAAAAQAgAAAAIgAAAGRy&#10;cy9kb3ducmV2LnhtbFBLAQIUABQAAAAIAIdO4kDBhJ1SBwIAAP0DAAAOAAAAAAAAAAEAIAAAACUB&#10;AABkcnMvZTJvRG9jLnhtbFBLBQYAAAAABgAGAFkBAACeBQAAAAA=&#10;">
                      <v:fill on="f" focussize="0,0"/>
                      <v:stroke weight="0.5pt" color="#000000" linestyle="thinThin" joinstyle="round"/>
                      <v:imagedata o:title=""/>
                      <o:lock v:ext="edit" aspectratio="f"/>
                    </v:line>
                  </w:pict>
                </mc:Fallback>
              </mc:AlternateContent>
            </w:r>
            <w:r>
              <w:rPr>
                <w:rFonts w:ascii="Times New Roman" w:hAnsi="Times New Roman" w:eastAsia="宋体" w:cs="Times New Roman"/>
                <w:caps w:val="0"/>
                <w:smallCaps w:val="0"/>
                <w:color w:val="auto"/>
                <w:spacing w:val="0"/>
                <w:w w:val="100"/>
                <w:position w:val="0"/>
                <w:sz w:val="21"/>
                <w:szCs w:val="21"/>
                <w:highlight w:val="none"/>
              </w:rPr>
              <mc:AlternateContent>
                <mc:Choice Requires="wps">
                  <w:drawing>
                    <wp:anchor distT="0" distB="0" distL="114300" distR="114300" simplePos="0" relativeHeight="251664384" behindDoc="0" locked="0" layoutInCell="1" allowOverlap="1">
                      <wp:simplePos x="0" y="0"/>
                      <wp:positionH relativeFrom="column">
                        <wp:posOffset>17145</wp:posOffset>
                      </wp:positionH>
                      <wp:positionV relativeFrom="paragraph">
                        <wp:posOffset>325755</wp:posOffset>
                      </wp:positionV>
                      <wp:extent cx="1580515" cy="210185"/>
                      <wp:effectExtent l="635" t="4445" r="19050" b="13970"/>
                      <wp:wrapNone/>
                      <wp:docPr id="8" name="直接连接符 8"/>
                      <wp:cNvGraphicFramePr/>
                      <a:graphic xmlns:a="http://schemas.openxmlformats.org/drawingml/2006/main">
                        <a:graphicData uri="http://schemas.microsoft.com/office/word/2010/wordprocessingShape">
                          <wps:wsp>
                            <wps:cNvCnPr/>
                            <wps:spPr>
                              <a:xfrm flipH="1" flipV="1">
                                <a:off x="0" y="0"/>
                                <a:ext cx="1580515" cy="210185"/>
                              </a:xfrm>
                              <a:prstGeom prst="line">
                                <a:avLst/>
                              </a:prstGeom>
                              <a:ln w="6350" cap="flat" cmpd="dbl">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1.35pt;margin-top:25.65pt;height:16.55pt;width:124.45pt;z-index:251664384;mso-width-relative:page;mso-height-relative:page;" filled="f" stroked="t" coordsize="21600,21600" o:gfxdata="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hU+a21wAAAAcBAAAPAAAAAAAAAAEAIAAAACIAAABkcnMv&#10;ZG93bnJldi54bWxQSwECFAAUAAAACACHTuJAIfzsyQQCAAD9AwAADgAAAAAAAAABACAAAAAmAQAA&#10;ZHJzL2Uyb0RvYy54bWxQSwUGAAAAAAYABgBZAQAAnAUAAAAA&#10;">
                      <v:fill on="f" focussize="0,0"/>
                      <v:stroke weight="0.5pt" color="#000000" linestyle="thinThin" joinstyle="round"/>
                      <v:imagedata o:title=""/>
                      <o:lock v:ext="edit" aspectratio="f"/>
                    </v:line>
                  </w:pict>
                </mc:Fallback>
              </mc:AlternateConten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 xml:space="preserve">          占地规模</w:t>
            </w:r>
          </w:p>
        </w:tc>
        <w:tc>
          <w:tcPr>
            <w:tcW w:w="2256"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Ⅰ类</w:t>
            </w:r>
          </w:p>
        </w:tc>
        <w:tc>
          <w:tcPr>
            <w:tcW w:w="226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Ⅱ类</w:t>
            </w:r>
          </w:p>
        </w:tc>
        <w:tc>
          <w:tcPr>
            <w:tcW w:w="225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Ⅲ类</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63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中</w:t>
            </w:r>
          </w:p>
        </w:tc>
        <w:tc>
          <w:tcPr>
            <w:tcW w:w="7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小</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中</w:t>
            </w:r>
          </w:p>
        </w:tc>
        <w:tc>
          <w:tcPr>
            <w:tcW w:w="7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小</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大</w:t>
            </w:r>
          </w:p>
        </w:tc>
        <w:tc>
          <w:tcPr>
            <w:tcW w:w="7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中</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小</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0" w:hRule="atLeast"/>
          <w:jc w:val="center"/>
        </w:trPr>
        <w:tc>
          <w:tcPr>
            <w:tcW w:w="26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敏感</w:t>
            </w:r>
          </w:p>
        </w:tc>
        <w:tc>
          <w:tcPr>
            <w:tcW w:w="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6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较敏感</w:t>
            </w:r>
          </w:p>
        </w:tc>
        <w:tc>
          <w:tcPr>
            <w:tcW w:w="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9" w:hRule="atLeast"/>
          <w:jc w:val="center"/>
        </w:trPr>
        <w:tc>
          <w:tcPr>
            <w:tcW w:w="26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不敏感</w:t>
            </w:r>
          </w:p>
        </w:tc>
        <w:tc>
          <w:tcPr>
            <w:tcW w:w="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二级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三级</w:t>
            </w:r>
          </w:p>
        </w:tc>
        <w:tc>
          <w:tcPr>
            <w:tcW w:w="7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7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r>
    </w:tbl>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w:t>
      </w:r>
      <w:r>
        <w:rPr>
          <w:rFonts w:hint="eastAsia" w:ascii="Times New Roman" w:hAnsi="Times New Roman" w:eastAsia="宋体" w:cs="Times New Roman"/>
          <w:color w:val="auto"/>
          <w:highlight w:val="none"/>
          <w:lang w:val="en-US" w:eastAsia="zh-CN"/>
        </w:rPr>
        <w:t xml:space="preserve">2.5.1.7-3          </w:t>
      </w:r>
      <w:r>
        <w:rPr>
          <w:rFonts w:hint="eastAsia"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本项目土壤环境影响评价等级判定表</w:t>
      </w:r>
    </w:p>
    <w:tbl>
      <w:tblPr>
        <w:tblStyle w:val="23"/>
        <w:tblW w:w="94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7"/>
        <w:gridCol w:w="2891"/>
        <w:gridCol w:w="2186"/>
        <w:gridCol w:w="36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75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289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项目</w:t>
            </w:r>
          </w:p>
        </w:tc>
        <w:tc>
          <w:tcPr>
            <w:tcW w:w="218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类别</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9" w:hRule="atLeast"/>
          <w:jc w:val="center"/>
        </w:trPr>
        <w:tc>
          <w:tcPr>
            <w:tcW w:w="75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289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土壤</w:t>
            </w:r>
            <w:r>
              <w:rPr>
                <w:rFonts w:ascii="Times New Roman" w:hAnsi="Times New Roman" w:eastAsia="宋体" w:cs="Times New Roman"/>
                <w:caps w:val="0"/>
                <w:smallCaps w:val="0"/>
                <w:color w:val="auto"/>
                <w:spacing w:val="0"/>
                <w:w w:val="100"/>
                <w:position w:val="0"/>
                <w:sz w:val="21"/>
                <w:szCs w:val="21"/>
                <w:highlight w:val="none"/>
              </w:rPr>
              <w:t>环境敏感程度</w:t>
            </w:r>
          </w:p>
        </w:tc>
        <w:tc>
          <w:tcPr>
            <w:tcW w:w="218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不</w:t>
            </w:r>
            <w:r>
              <w:rPr>
                <w:rFonts w:ascii="Times New Roman" w:hAnsi="Times New Roman" w:eastAsia="宋体" w:cs="Times New Roman"/>
                <w:caps w:val="0"/>
                <w:smallCaps w:val="0"/>
                <w:color w:val="auto"/>
                <w:spacing w:val="0"/>
                <w:w w:val="100"/>
                <w:position w:val="0"/>
                <w:sz w:val="21"/>
                <w:szCs w:val="21"/>
                <w:highlight w:val="none"/>
              </w:rPr>
              <w:t>敏感</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项目所在区域无耕地、园地、牧草地、饮用水水源地或居民区、学校、医院、疗养院、养老院等土壤环境敏感目标及其他土壤环境敏感目标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75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w:t>
            </w:r>
          </w:p>
        </w:tc>
        <w:tc>
          <w:tcPr>
            <w:tcW w:w="289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占地规模</w:t>
            </w:r>
          </w:p>
        </w:tc>
        <w:tc>
          <w:tcPr>
            <w:tcW w:w="218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小型（≤</w:t>
            </w:r>
            <w:r>
              <w:rPr>
                <w:rFonts w:hint="default" w:ascii="Times New Roman" w:hAnsi="Times New Roman" w:eastAsia="宋体" w:cs="Times New Roman"/>
                <w:caps w:val="0"/>
                <w:smallCaps w:val="0"/>
                <w:color w:val="auto"/>
                <w:spacing w:val="0"/>
                <w:w w:val="100"/>
                <w:position w:val="0"/>
                <w:sz w:val="21"/>
                <w:szCs w:val="21"/>
                <w:highlight w:val="none"/>
                <w:lang w:val="en-US" w:eastAsia="zh-CN"/>
              </w:rPr>
              <w:t>5hm</w:t>
            </w:r>
            <w:r>
              <w:rPr>
                <w:rFonts w:hint="default"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本项目占地</w:t>
            </w:r>
            <w:r>
              <w:rPr>
                <w:rFonts w:hint="eastAsia" w:ascii="Times New Roman" w:cs="Times New Roman"/>
                <w:caps w:val="0"/>
                <w:smallCaps w:val="0"/>
                <w:color w:val="auto"/>
                <w:spacing w:val="0"/>
                <w:w w:val="100"/>
                <w:position w:val="0"/>
                <w:sz w:val="21"/>
                <w:szCs w:val="21"/>
                <w:highlight w:val="none"/>
                <w:lang w:val="en-US" w:eastAsia="zh-CN"/>
              </w:rPr>
              <w:t>28343.9</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75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w:t>
            </w:r>
          </w:p>
        </w:tc>
        <w:tc>
          <w:tcPr>
            <w:tcW w:w="289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本项目类别</w:t>
            </w:r>
          </w:p>
        </w:tc>
        <w:tc>
          <w:tcPr>
            <w:tcW w:w="218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II类</w:t>
            </w:r>
          </w:p>
        </w:tc>
        <w:tc>
          <w:tcPr>
            <w:tcW w:w="36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造纸</w:t>
            </w:r>
          </w:p>
        </w:tc>
      </w:tr>
    </w:tbl>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本项目属于II类项目，且位于</w:t>
      </w:r>
      <w:r>
        <w:rPr>
          <w:rFonts w:hint="eastAsia" w:cs="Times New Roman"/>
          <w:color w:val="auto"/>
          <w:highlight w:val="none"/>
          <w:lang w:val="en-US" w:eastAsia="zh-CN"/>
        </w:rPr>
        <w:t>不</w:t>
      </w:r>
      <w:r>
        <w:rPr>
          <w:rFonts w:hint="eastAsia" w:ascii="Times New Roman" w:hAnsi="Times New Roman" w:eastAsia="宋体" w:cs="Times New Roman"/>
          <w:color w:val="auto"/>
          <w:highlight w:val="none"/>
          <w:lang w:eastAsia="zh-CN"/>
        </w:rPr>
        <w:t>敏感区域，本项目占地规模属于小型</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5hm</w:t>
      </w:r>
      <w:r>
        <w:rPr>
          <w:rFonts w:hint="default"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对照表</w:t>
      </w:r>
      <w:r>
        <w:rPr>
          <w:rFonts w:hint="eastAsia" w:cs="Times New Roman"/>
          <w:color w:val="auto"/>
          <w:highlight w:val="none"/>
          <w:lang w:val="en-US" w:eastAsia="zh-CN"/>
        </w:rPr>
        <w:t>2.5.1.7-2</w:t>
      </w:r>
      <w:r>
        <w:rPr>
          <w:rFonts w:hint="eastAsia" w:ascii="Times New Roman" w:hAnsi="Times New Roman" w:eastAsia="宋体" w:cs="Times New Roman"/>
          <w:color w:val="auto"/>
          <w:highlight w:val="none"/>
          <w:lang w:eastAsia="zh-CN"/>
        </w:rPr>
        <w:t>和表</w:t>
      </w:r>
      <w:r>
        <w:rPr>
          <w:rFonts w:hint="eastAsia" w:cs="Times New Roman"/>
          <w:color w:val="auto"/>
          <w:highlight w:val="none"/>
          <w:lang w:val="en-US" w:eastAsia="zh-CN"/>
        </w:rPr>
        <w:t>2.5.1.7-3</w:t>
      </w:r>
      <w:r>
        <w:rPr>
          <w:rFonts w:hint="eastAsia" w:ascii="Times New Roman" w:hAnsi="Times New Roman" w:eastAsia="宋体" w:cs="Times New Roman"/>
          <w:color w:val="auto"/>
          <w:highlight w:val="none"/>
          <w:lang w:eastAsia="zh-CN"/>
        </w:rPr>
        <w:t>可知本项目</w:t>
      </w:r>
      <w:r>
        <w:rPr>
          <w:rFonts w:hint="eastAsia" w:cs="Times New Roman"/>
          <w:color w:val="auto"/>
          <w:highlight w:val="none"/>
          <w:lang w:eastAsia="zh-CN"/>
        </w:rPr>
        <w:t>土壤</w:t>
      </w:r>
      <w:r>
        <w:rPr>
          <w:rFonts w:hint="eastAsia" w:ascii="Times New Roman" w:hAnsi="Times New Roman" w:eastAsia="宋体" w:cs="Times New Roman"/>
          <w:color w:val="auto"/>
          <w:highlight w:val="none"/>
          <w:lang w:eastAsia="zh-CN"/>
        </w:rPr>
        <w:t>评价等级为</w:t>
      </w:r>
      <w:r>
        <w:rPr>
          <w:rFonts w:hint="eastAsia" w:cs="Times New Roman"/>
          <w:color w:val="auto"/>
          <w:highlight w:val="none"/>
          <w:lang w:eastAsia="zh-CN"/>
        </w:rPr>
        <w:t>三</w:t>
      </w:r>
      <w:r>
        <w:rPr>
          <w:rFonts w:hint="eastAsia" w:ascii="Times New Roman" w:hAnsi="Times New Roman" w:eastAsia="宋体" w:cs="Times New Roman"/>
          <w:color w:val="auto"/>
          <w:highlight w:val="none"/>
          <w:lang w:eastAsia="zh-CN"/>
        </w:rPr>
        <w:t>级。</w:t>
      </w:r>
    </w:p>
    <w:p>
      <w:pPr>
        <w:keepNext/>
        <w:keepLines/>
        <w:numPr>
          <w:ilvl w:val="0"/>
          <w:numId w:val="0"/>
        </w:numPr>
        <w:autoSpaceDE/>
        <w:autoSpaceDN/>
        <w:bidi w:val="0"/>
        <w:spacing w:before="0" w:after="0"/>
        <w:ind w:left="0" w:right="0" w:firstLine="0"/>
        <w:jc w:val="both"/>
        <w:outlineLvl w:val="2"/>
        <w:rPr>
          <w:rFonts w:hint="eastAsia" w:ascii="Times New Roman" w:hAnsi="Times New Roman" w:eastAsia="宋体" w:cs="Times New Roman"/>
          <w:b/>
          <w:bCs/>
          <w:color w:val="auto"/>
          <w:szCs w:val="20"/>
          <w:highlight w:val="none"/>
          <w:lang w:val="en-US" w:bidi="ar-SA"/>
        </w:rPr>
      </w:pPr>
      <w:bookmarkStart w:id="142" w:name="_Toc30336"/>
      <w:r>
        <w:rPr>
          <w:rFonts w:hint="eastAsia" w:ascii="Times New Roman" w:hAnsi="Times New Roman" w:eastAsia="宋体" w:cs="Times New Roman"/>
          <w:b/>
          <w:bCs/>
          <w:color w:val="auto"/>
          <w:szCs w:val="20"/>
          <w:highlight w:val="none"/>
          <w:lang w:val="en-US" w:eastAsia="zh-CN" w:bidi="ar-SA"/>
        </w:rPr>
        <w:t>2.5.1.8</w:t>
      </w:r>
      <w:r>
        <w:rPr>
          <w:rFonts w:hint="eastAsia" w:ascii="Times New Roman" w:hAnsi="Times New Roman" w:eastAsia="宋体" w:cs="Times New Roman"/>
          <w:b/>
          <w:bCs/>
          <w:color w:val="auto"/>
          <w:szCs w:val="20"/>
          <w:highlight w:val="none"/>
          <w:lang w:val="en-US" w:bidi="ar-SA"/>
        </w:rPr>
        <w:t>生态环境评价等级确定</w:t>
      </w:r>
      <w:bookmarkEnd w:id="142"/>
    </w:p>
    <w:p>
      <w:pPr>
        <w:bidi w:val="0"/>
        <w:ind w:firstLine="102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生态影响》（HJ19-2022）本项目生态影响评价等级为三级。</w:t>
      </w:r>
    </w:p>
    <w:p>
      <w:pPr>
        <w:bidi w:val="0"/>
        <w:ind w:firstLine="102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表2.</w:t>
      </w:r>
      <w:r>
        <w:rPr>
          <w:rFonts w:hint="eastAsia" w:ascii="Times New Roman" w:hAnsi="Times New Roman" w:eastAsia="宋体" w:cs="Times New Roman"/>
          <w:color w:val="auto"/>
          <w:highlight w:val="none"/>
          <w:lang w:val="en-US" w:eastAsia="zh-CN"/>
        </w:rPr>
        <w:t>5.1.8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 xml:space="preserve">1                        </w:t>
      </w:r>
      <w:r>
        <w:rPr>
          <w:rFonts w:hint="default" w:ascii="Times New Roman" w:hAnsi="Times New Roman" w:eastAsia="宋体" w:cs="Times New Roman"/>
          <w:color w:val="auto"/>
          <w:highlight w:val="none"/>
          <w:lang w:val="en-US" w:eastAsia="zh-CN"/>
        </w:rPr>
        <w:t>生态评价等级判定</w:t>
      </w:r>
    </w:p>
    <w:tbl>
      <w:tblPr>
        <w:tblStyle w:val="24"/>
        <w:tblW w:w="4895"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027"/>
        <w:gridCol w:w="3637"/>
        <w:gridCol w:w="14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导则要求</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评价等级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a）涉及国家公园、自然保护区、世界自然遗产、重要生境时，评价等级为一级；</w:t>
            </w:r>
          </w:p>
        </w:tc>
        <w:tc>
          <w:tcPr>
            <w:tcW w:w="1998"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本项目选址选线不涉及国家公园、自然保护区、世界自然遗产、重要生境</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b）涉及自然公园时，评价等级为二级；</w:t>
            </w:r>
          </w:p>
        </w:tc>
        <w:tc>
          <w:tcPr>
            <w:tcW w:w="1998"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本项目选址选线不涉及</w:t>
            </w:r>
            <w:r>
              <w:rPr>
                <w:rFonts w:hint="default" w:ascii="Times New Roman" w:hAnsi="Times New Roman" w:eastAsia="宋体" w:cs="Times New Roman"/>
                <w:color w:val="auto"/>
                <w:sz w:val="21"/>
                <w:szCs w:val="21"/>
                <w:highlight w:val="none"/>
              </w:rPr>
              <w:t>自然公园</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c）涉及生态保护红线时，评价等级不低于二级；</w:t>
            </w:r>
          </w:p>
        </w:tc>
        <w:tc>
          <w:tcPr>
            <w:tcW w:w="1998"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本项目选址不占用及跨越生态红线</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d）根据HJ2.3判断属于水文要素影响型且地表水评价等级不低于二级的建设项目，生态影响评价等级不低于二级；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w:t>
            </w:r>
            <w:r>
              <w:rPr>
                <w:rFonts w:hint="eastAsia" w:ascii="Times New Roman" w:hAnsi="Times New Roman" w:eastAsia="宋体" w:cs="Times New Roman"/>
                <w:color w:val="auto"/>
                <w:sz w:val="21"/>
                <w:szCs w:val="21"/>
                <w:highlight w:val="none"/>
                <w:lang w:val="en-US" w:eastAsia="zh-CN"/>
              </w:rPr>
              <w:t>造纸项</w:t>
            </w:r>
            <w:r>
              <w:rPr>
                <w:rFonts w:hint="default" w:ascii="Times New Roman" w:hAnsi="Times New Roman" w:eastAsia="宋体" w:cs="Times New Roman"/>
                <w:color w:val="auto"/>
                <w:sz w:val="21"/>
                <w:szCs w:val="21"/>
                <w:highlight w:val="none"/>
                <w:lang w:val="en-US" w:eastAsia="zh-CN"/>
              </w:rPr>
              <w:t>目，</w:t>
            </w:r>
            <w:r>
              <w:rPr>
                <w:rFonts w:hint="eastAsia" w:ascii="Times New Roman" w:hAnsi="Times New Roman" w:eastAsia="宋体" w:cs="Times New Roman"/>
                <w:color w:val="auto"/>
                <w:sz w:val="21"/>
                <w:szCs w:val="21"/>
                <w:highlight w:val="none"/>
                <w:lang w:val="en-US" w:eastAsia="zh-CN"/>
              </w:rPr>
              <w:t>项目在陆地建设，不跨越及占用水域，</w:t>
            </w:r>
            <w:r>
              <w:rPr>
                <w:rFonts w:hint="default" w:ascii="Times New Roman" w:hAnsi="Times New Roman" w:eastAsia="宋体" w:cs="Times New Roman"/>
                <w:color w:val="auto"/>
                <w:sz w:val="21"/>
                <w:szCs w:val="21"/>
                <w:highlight w:val="none"/>
                <w:lang w:val="en-US" w:eastAsia="zh-CN"/>
              </w:rPr>
              <w:t>不属于水文要素影响型项目</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0"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e）根据HJ610、HJ64</w:t>
            </w:r>
            <w:r>
              <w:rPr>
                <w:rFonts w:hint="default" w:ascii="Times New Roman" w:hAnsi="Times New Roman" w:eastAsia="宋体" w:cs="Times New Roman"/>
                <w:color w:val="auto"/>
                <w:sz w:val="21"/>
                <w:szCs w:val="21"/>
                <w:highlight w:val="none"/>
                <w:lang w:val="en-US" w:eastAsia="zh-CN"/>
              </w:rPr>
              <w:t>判断</w:t>
            </w:r>
            <w:r>
              <w:rPr>
                <w:rFonts w:hint="default" w:ascii="Times New Roman" w:hAnsi="Times New Roman" w:cs="Times New Roman"/>
                <w:color w:val="auto"/>
                <w:sz w:val="21"/>
                <w:szCs w:val="21"/>
                <w:highlight w:val="none"/>
              </w:rPr>
              <w:t>地下水水位或土壤影响范围内分布有天然林、公益林、湿地等生态保护目标的建设项目，生态影响评价等级不低于二级；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项目所在区域及周围环境无天然林、公益林、湿地等生态保护目标</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0"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f）当工程占地规模大于20km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时（包括永久和临时占用陆域和水域），评价等级不低于二级；改扩建项目的占地范围以新增占地（包括陆域和水域）确定；</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项目陆地占地面积共</w:t>
            </w:r>
            <w:r>
              <w:rPr>
                <w:rFonts w:hint="eastAsia" w:ascii="Times New Roman" w:cs="Times New Roman"/>
                <w:color w:val="auto"/>
                <w:sz w:val="21"/>
                <w:szCs w:val="21"/>
                <w:highlight w:val="none"/>
                <w:lang w:val="en-US" w:eastAsia="zh-CN"/>
              </w:rPr>
              <w:t>28343.9</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，项目不占用水域</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22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除本条a）、b）、c）、d）、e）、f）以外的情况，评价等级为三级；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三级</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smallCaps w:val="0"/>
                <w:color w:val="auto"/>
                <w:spacing w:val="0"/>
                <w:w w:val="100"/>
                <w:sz w:val="21"/>
                <w:szCs w:val="21"/>
                <w:highlight w:val="none"/>
              </w:rPr>
              <w:t>建设项目涉及经论证对保护生物多样性具有重要意义的区域时，可适当上调评价等级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本项目选址选线不涉及</w:t>
            </w:r>
            <w:r>
              <w:rPr>
                <w:rFonts w:hint="default" w:ascii="Times New Roman" w:hAnsi="Times New Roman" w:eastAsia="宋体" w:cs="Times New Roman"/>
                <w:color w:val="auto"/>
                <w:sz w:val="21"/>
                <w:szCs w:val="21"/>
                <w:highlight w:val="none"/>
              </w:rPr>
              <w:t>保护生物多样性具有重要意义的区域</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99"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建设项目同时涉及陆生、水生生态影响时，可针对陆生生态、水生生态分别判定评价等级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本项目仅在陆地上建设，</w:t>
            </w:r>
            <w:r>
              <w:rPr>
                <w:rFonts w:hint="eastAsia" w:ascii="Times New Roman" w:hAnsi="Times New Roman" w:eastAsia="宋体" w:cs="Times New Roman"/>
                <w:color w:val="auto"/>
                <w:sz w:val="21"/>
                <w:szCs w:val="21"/>
                <w:highlight w:val="none"/>
                <w:lang w:val="en-US" w:eastAsia="zh-CN"/>
              </w:rPr>
              <w:t>不跨越及占用水域</w:t>
            </w:r>
            <w:r>
              <w:rPr>
                <w:rFonts w:hint="default" w:ascii="Times New Roman" w:hAnsi="Times New Roman" w:eastAsia="宋体" w:cs="Times New Roman"/>
                <w:color w:val="auto"/>
                <w:sz w:val="21"/>
                <w:szCs w:val="21"/>
                <w:highlight w:val="none"/>
                <w:lang w:val="en-US" w:eastAsia="zh-CN"/>
              </w:rPr>
              <w:t>，陆生生态评价等级为三级</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99"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在矿山开采可能导致矿区土地利用类型明显改变，或拦河闸坝建设可能明显改变水文情势等情况下，评价等级应上调一级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w:t>
            </w:r>
            <w:r>
              <w:rPr>
                <w:rFonts w:hint="eastAsia" w:ascii="Times New Roman" w:hAnsi="Times New Roman" w:eastAsia="宋体" w:cs="Times New Roman"/>
                <w:color w:val="auto"/>
                <w:sz w:val="21"/>
                <w:szCs w:val="21"/>
                <w:highlight w:val="none"/>
                <w:lang w:val="en-US" w:eastAsia="zh-CN"/>
              </w:rPr>
              <w:t>造纸项目</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项目建设</w:t>
            </w:r>
            <w:r>
              <w:rPr>
                <w:rFonts w:hint="default" w:ascii="Times New Roman" w:hAnsi="Times New Roman" w:eastAsia="宋体" w:cs="Times New Roman"/>
                <w:color w:val="auto"/>
                <w:sz w:val="21"/>
                <w:szCs w:val="21"/>
                <w:highlight w:val="none"/>
                <w:lang w:val="en-US" w:eastAsia="zh-CN"/>
              </w:rPr>
              <w:t>不涉及</w:t>
            </w:r>
            <w:r>
              <w:rPr>
                <w:rFonts w:hint="default" w:ascii="Times New Roman" w:hAnsi="Times New Roman" w:eastAsia="宋体" w:cs="Times New Roman"/>
                <w:color w:val="auto"/>
                <w:sz w:val="21"/>
                <w:szCs w:val="21"/>
                <w:highlight w:val="none"/>
              </w:rPr>
              <w:t>矿山开采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拦河闸坝建设</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0"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线性工程可分段确定评价等级。线性工程地下穿越或地表跨越生态敏感区，在生态敏感区范围内无永久、临时占地时，评价等级可下调一级</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本项目不属于线性工程</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涉海工程评价等级判定参照GB/T19485</w:t>
            </w:r>
          </w:p>
        </w:tc>
        <w:tc>
          <w:tcPr>
            <w:tcW w:w="1998"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本项目工程不涉及海洋工程</w:t>
            </w:r>
          </w:p>
        </w:tc>
        <w:tc>
          <w:tcPr>
            <w:tcW w:w="788"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13" w:hRule="atLeast"/>
        </w:trPr>
        <w:tc>
          <w:tcPr>
            <w:tcW w:w="2212" w:type="pct"/>
            <w:tcBorders>
              <w:tl2br w:val="nil"/>
              <w:tr2bl w:val="nil"/>
            </w:tcBorders>
            <w:vAlign w:val="center"/>
          </w:tcPr>
          <w:p>
            <w:pPr>
              <w:keepNext w:val="0"/>
              <w:keepLines w:val="0"/>
              <w:pageBreakBefore w:val="0"/>
              <w:widowControl/>
              <w:kinsoku/>
              <w:wordWrap/>
              <w:overflowPunct/>
              <w:topLinePunct w:val="0"/>
              <w:bidi w:val="0"/>
              <w:adjustRightInd/>
              <w:snapToGrid/>
              <w:spacing w:line="360" w:lineRule="exact"/>
              <w:ind w:firstLine="0" w:firstLineChars="0"/>
              <w:jc w:val="both"/>
              <w:textAlignment w:val="auto"/>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19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符合</w:t>
            </w:r>
            <w:r>
              <w:rPr>
                <w:rFonts w:hint="default" w:ascii="Times New Roman" w:hAnsi="Times New Roman" w:cs="Times New Roman"/>
                <w:smallCaps w:val="0"/>
                <w:color w:val="auto"/>
                <w:spacing w:val="0"/>
                <w:w w:val="100"/>
                <w:sz w:val="21"/>
                <w:szCs w:val="21"/>
                <w:highlight w:val="none"/>
              </w:rPr>
              <w:t>生态环境分区管控要求</w:t>
            </w:r>
            <w:r>
              <w:rPr>
                <w:rFonts w:hint="eastAsia" w:ascii="Times New Roman" w:hAnsi="Times New Roman" w:cs="Times New Roman"/>
                <w:smallCaps w:val="0"/>
                <w:color w:val="auto"/>
                <w:spacing w:val="0"/>
                <w:w w:val="100"/>
                <w:sz w:val="21"/>
                <w:szCs w:val="21"/>
                <w:highlight w:val="none"/>
                <w:lang w:eastAsia="zh-CN"/>
              </w:rPr>
              <w:t>，</w:t>
            </w:r>
            <w:r>
              <w:rPr>
                <w:rFonts w:hint="eastAsia" w:ascii="Times New Roman" w:hAnsi="Times New Roman" w:cs="Times New Roman"/>
                <w:smallCaps w:val="0"/>
                <w:color w:val="auto"/>
                <w:spacing w:val="0"/>
                <w:w w:val="100"/>
                <w:sz w:val="21"/>
                <w:szCs w:val="21"/>
                <w:highlight w:val="none"/>
                <w:lang w:val="en-US" w:eastAsia="zh-CN"/>
              </w:rPr>
              <w:t>本项目在原厂址进行技术改造项目，本项目属于污染类项目，因此本项目可不确定评价等级，</w:t>
            </w:r>
            <w:r>
              <w:rPr>
                <w:rFonts w:hint="default" w:ascii="Times New Roman" w:hAnsi="Times New Roman" w:cs="Times New Roman"/>
                <w:smallCaps w:val="0"/>
                <w:color w:val="auto"/>
                <w:spacing w:val="0"/>
                <w:w w:val="100"/>
                <w:sz w:val="21"/>
                <w:szCs w:val="21"/>
                <w:highlight w:val="none"/>
              </w:rPr>
              <w:t>直接进行生态影响简单分析</w:t>
            </w:r>
          </w:p>
        </w:tc>
        <w:tc>
          <w:tcPr>
            <w:tcW w:w="78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mallCaps w:val="0"/>
                <w:color w:val="auto"/>
                <w:spacing w:val="0"/>
                <w:w w:val="100"/>
                <w:sz w:val="21"/>
                <w:szCs w:val="21"/>
                <w:highlight w:val="none"/>
                <w:lang w:val="en-US" w:eastAsia="zh-CN"/>
              </w:rPr>
              <w:t>不确定评价等级，</w:t>
            </w:r>
            <w:r>
              <w:rPr>
                <w:rFonts w:hint="default" w:ascii="Times New Roman" w:hAnsi="Times New Roman" w:cs="Times New Roman"/>
                <w:smallCaps w:val="0"/>
                <w:color w:val="auto"/>
                <w:spacing w:val="0"/>
                <w:w w:val="100"/>
                <w:sz w:val="21"/>
                <w:szCs w:val="21"/>
                <w:highlight w:val="none"/>
              </w:rPr>
              <w:t>直接进行生态影响简单分析</w:t>
            </w:r>
          </w:p>
        </w:tc>
      </w:tr>
    </w:tbl>
    <w:p>
      <w:pPr>
        <w:pStyle w:val="7"/>
        <w:keepNext/>
        <w:keepLines/>
        <w:autoSpaceDE/>
        <w:autoSpaceDN/>
        <w:bidi w:val="0"/>
        <w:spacing w:before="0" w:after="0" w:line="500" w:lineRule="exact"/>
        <w:ind w:left="0" w:right="0" w:firstLine="0" w:firstLineChars="0"/>
        <w:jc w:val="both"/>
        <w:outlineLvl w:val="2"/>
        <w:rPr>
          <w:rFonts w:hint="eastAsia" w:ascii="Times New Roman" w:hAnsi="Times New Roman" w:eastAsia="宋体" w:cs="Times New Roman"/>
          <w:bCs w:val="0"/>
          <w:color w:val="auto"/>
          <w:kern w:val="2"/>
          <w:szCs w:val="20"/>
          <w:highlight w:val="none"/>
          <w:lang w:val="en-US" w:bidi="ar-SA"/>
        </w:rPr>
      </w:pPr>
      <w:bookmarkStart w:id="143" w:name="_Toc28089"/>
      <w:r>
        <w:rPr>
          <w:rFonts w:hint="eastAsia" w:ascii="Times New Roman" w:hAnsi="Times New Roman" w:eastAsia="宋体" w:cs="Times New Roman"/>
          <w:bCs w:val="0"/>
          <w:color w:val="auto"/>
          <w:kern w:val="2"/>
          <w:szCs w:val="20"/>
          <w:highlight w:val="none"/>
          <w:lang w:val="en-US" w:eastAsia="zh-CN" w:bidi="ar-SA"/>
        </w:rPr>
        <w:t>2.5.2</w:t>
      </w:r>
      <w:r>
        <w:rPr>
          <w:rFonts w:hint="eastAsia" w:ascii="Times New Roman" w:hAnsi="Times New Roman" w:eastAsia="宋体" w:cs="Times New Roman"/>
          <w:bCs w:val="0"/>
          <w:color w:val="auto"/>
          <w:kern w:val="2"/>
          <w:szCs w:val="20"/>
          <w:highlight w:val="none"/>
          <w:lang w:val="en-US" w:bidi="ar-SA"/>
        </w:rPr>
        <w:t>评价重点</w:t>
      </w:r>
      <w:bookmarkEnd w:id="143"/>
    </w:p>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评价以工程分析为主导，以大气环境影响评价、地表水环境影响评价、污染治理设施可行性分析等为重点评价内容；环境风险评价、地下水环境影响评价、固体废物影响分析及处置、声环境影响评价、土壤环境影响评价、生态环境影响评价、总量控制、环境管理和环境经济损益分析等作为一般评价内容。</w:t>
      </w:r>
    </w:p>
    <w:p>
      <w:pPr>
        <w:pStyle w:val="7"/>
        <w:keepNext/>
        <w:keepLines/>
        <w:autoSpaceDE/>
        <w:autoSpaceDN/>
        <w:bidi w:val="0"/>
        <w:spacing w:before="0" w:after="0" w:line="500" w:lineRule="exact"/>
        <w:ind w:left="0" w:right="0" w:firstLine="0" w:firstLineChars="0"/>
        <w:jc w:val="both"/>
        <w:outlineLvl w:val="2"/>
        <w:rPr>
          <w:rFonts w:hint="eastAsia" w:ascii="Times New Roman" w:hAnsi="Times New Roman" w:eastAsia="宋体" w:cs="Times New Roman"/>
          <w:bCs w:val="0"/>
          <w:color w:val="auto"/>
          <w:kern w:val="2"/>
          <w:szCs w:val="20"/>
          <w:highlight w:val="none"/>
          <w:lang w:val="en-US" w:bidi="ar-SA"/>
        </w:rPr>
      </w:pPr>
      <w:bookmarkStart w:id="144" w:name="_bookmark31"/>
      <w:bookmarkEnd w:id="144"/>
      <w:bookmarkStart w:id="145" w:name="_bookmark31"/>
      <w:bookmarkEnd w:id="145"/>
      <w:bookmarkStart w:id="146" w:name="_Toc24212"/>
      <w:r>
        <w:rPr>
          <w:rFonts w:hint="eastAsia" w:ascii="Times New Roman" w:hAnsi="Times New Roman" w:eastAsia="宋体" w:cs="Times New Roman"/>
          <w:bCs w:val="0"/>
          <w:color w:val="auto"/>
          <w:kern w:val="2"/>
          <w:szCs w:val="20"/>
          <w:highlight w:val="none"/>
          <w:lang w:val="en-US" w:eastAsia="zh-CN" w:bidi="ar-SA"/>
        </w:rPr>
        <w:t>2.5.3</w:t>
      </w:r>
      <w:r>
        <w:rPr>
          <w:rFonts w:hint="eastAsia" w:ascii="Times New Roman" w:hAnsi="Times New Roman" w:eastAsia="宋体" w:cs="Times New Roman"/>
          <w:bCs w:val="0"/>
          <w:color w:val="auto"/>
          <w:kern w:val="2"/>
          <w:szCs w:val="20"/>
          <w:highlight w:val="none"/>
          <w:lang w:val="en-US" w:bidi="ar-SA"/>
        </w:rPr>
        <w:t>评价范围</w:t>
      </w:r>
      <w:bookmarkEnd w:id="146"/>
    </w:p>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w:t>
      </w:r>
      <w:r>
        <w:rPr>
          <w:rFonts w:hint="eastAsia" w:ascii="Times New Roman" w:hAnsi="Times New Roman" w:eastAsia="宋体" w:cs="Times New Roman"/>
          <w:color w:val="auto"/>
          <w:highlight w:val="none"/>
          <w:lang w:val="en-US" w:eastAsia="zh-CN"/>
        </w:rPr>
        <w:t>2.5.3-1</w:t>
      </w:r>
      <w:r>
        <w:rPr>
          <w:rFonts w:hint="eastAsia" w:ascii="Times New Roman" w:hAnsi="Times New Roman" w:eastAsia="宋体" w:cs="Times New Roman"/>
          <w:color w:val="auto"/>
          <w:highlight w:val="none"/>
          <w:lang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环境评价等级与范围汇总表</w:t>
      </w:r>
    </w:p>
    <w:tbl>
      <w:tblPr>
        <w:tblStyle w:val="23"/>
        <w:tblW w:w="93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4"/>
        <w:gridCol w:w="6635"/>
        <w:gridCol w:w="12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6"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环境要素</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评价范围</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评价等级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14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大气环境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以扩建项目厂址为中心，边长为5km的矩形区域</w:t>
            </w:r>
          </w:p>
        </w:tc>
        <w:tc>
          <w:tcPr>
            <w:tcW w:w="123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二</w:t>
            </w:r>
            <w:r>
              <w:rPr>
                <w:rFonts w:ascii="Times New Roman" w:hAnsi="Times New Roman" w:eastAsia="宋体" w:cs="Times New Roman"/>
                <w:caps w:val="0"/>
                <w:smallCaps w:val="0"/>
                <w:color w:val="auto"/>
                <w:spacing w:val="0"/>
                <w:w w:val="100"/>
                <w:position w:val="0"/>
                <w:sz w:val="21"/>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14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声环境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厂界外200m以内区域</w:t>
            </w:r>
          </w:p>
        </w:tc>
        <w:tc>
          <w:tcPr>
            <w:tcW w:w="123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三</w:t>
            </w:r>
            <w:r>
              <w:rPr>
                <w:rFonts w:ascii="Times New Roman" w:hAnsi="Times New Roman" w:eastAsia="宋体" w:cs="Times New Roman"/>
                <w:caps w:val="0"/>
                <w:smallCaps w:val="0"/>
                <w:color w:val="auto"/>
                <w:spacing w:val="0"/>
                <w:w w:val="100"/>
                <w:position w:val="0"/>
                <w:sz w:val="21"/>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99"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w:t>
            </w:r>
            <w:r>
              <w:rPr>
                <w:rFonts w:hint="eastAsia" w:cs="Times New Roman"/>
                <w:caps w:val="0"/>
                <w:smallCaps w:val="0"/>
                <w:color w:val="auto"/>
                <w:spacing w:val="0"/>
                <w:w w:val="100"/>
                <w:position w:val="0"/>
                <w:sz w:val="21"/>
                <w:szCs w:val="21"/>
                <w:highlight w:val="none"/>
                <w:lang w:eastAsia="zh-CN"/>
              </w:rPr>
              <w:t>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厂址</w:t>
            </w:r>
            <w:r>
              <w:rPr>
                <w:rFonts w:hint="eastAsia" w:ascii="Times New Roman" w:hAnsi="Times New Roman" w:eastAsia="宋体" w:cs="Times New Roman"/>
                <w:caps w:val="0"/>
                <w:smallCaps w:val="0"/>
                <w:color w:val="auto"/>
                <w:spacing w:val="0"/>
                <w:w w:val="100"/>
                <w:position w:val="0"/>
                <w:sz w:val="21"/>
                <w:szCs w:val="21"/>
                <w:highlight w:val="none"/>
              </w:rPr>
              <w:t>上游</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440</w:t>
            </w:r>
            <w:r>
              <w:rPr>
                <w:rFonts w:hint="eastAsia" w:ascii="Times New Roman" w:hAnsi="Times New Roman" w:eastAsia="宋体" w:cs="Times New Roman"/>
                <w:caps w:val="0"/>
                <w:smallCaps w:val="0"/>
                <w:color w:val="auto"/>
                <w:spacing w:val="0"/>
                <w:w w:val="100"/>
                <w:position w:val="0"/>
                <w:sz w:val="21"/>
                <w:szCs w:val="21"/>
                <w:highlight w:val="none"/>
              </w:rPr>
              <w:t>m、下游860m及</w:t>
            </w:r>
            <w:r>
              <w:rPr>
                <w:rFonts w:hint="eastAsia" w:cs="Times New Roman"/>
                <w:caps w:val="0"/>
                <w:smallCaps w:val="0"/>
                <w:color w:val="auto"/>
                <w:spacing w:val="0"/>
                <w:w w:val="100"/>
                <w:position w:val="0"/>
                <w:sz w:val="21"/>
                <w:szCs w:val="21"/>
                <w:highlight w:val="none"/>
                <w:lang w:eastAsia="zh-CN"/>
              </w:rPr>
              <w:t>两</w:t>
            </w:r>
            <w:r>
              <w:rPr>
                <w:rFonts w:hint="eastAsia" w:ascii="Times New Roman" w:hAnsi="Times New Roman" w:eastAsia="宋体" w:cs="Times New Roman"/>
                <w:caps w:val="0"/>
                <w:smallCaps w:val="0"/>
                <w:color w:val="auto"/>
                <w:spacing w:val="0"/>
                <w:w w:val="100"/>
                <w:position w:val="0"/>
                <w:sz w:val="21"/>
                <w:szCs w:val="21"/>
                <w:highlight w:val="none"/>
              </w:rPr>
              <w:t>侧</w:t>
            </w:r>
            <w:r>
              <w:rPr>
                <w:rFonts w:ascii="Times New Roman" w:hAnsi="Times New Roman" w:eastAsia="宋体" w:cs="Times New Roman"/>
                <w:caps w:val="0"/>
                <w:smallCaps w:val="0"/>
                <w:color w:val="auto"/>
                <w:spacing w:val="0"/>
                <w:w w:val="100"/>
                <w:position w:val="0"/>
                <w:sz w:val="21"/>
                <w:szCs w:val="21"/>
                <w:highlight w:val="none"/>
              </w:rPr>
              <w:t>4</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w:t>
            </w:r>
            <w:r>
              <w:rPr>
                <w:rFonts w:ascii="Times New Roman" w:hAnsi="Times New Roman" w:eastAsia="宋体" w:cs="Times New Roman"/>
                <w:caps w:val="0"/>
                <w:smallCaps w:val="0"/>
                <w:color w:val="auto"/>
                <w:spacing w:val="0"/>
                <w:w w:val="100"/>
                <w:position w:val="0"/>
                <w:sz w:val="21"/>
                <w:szCs w:val="21"/>
                <w:highlight w:val="none"/>
              </w:rPr>
              <w:t>0m</w:t>
            </w:r>
            <w:r>
              <w:rPr>
                <w:rFonts w:hint="eastAsia" w:cs="Times New Roman"/>
                <w:caps w:val="0"/>
                <w:smallCaps w:val="0"/>
                <w:color w:val="auto"/>
                <w:spacing w:val="0"/>
                <w:w w:val="100"/>
                <w:position w:val="0"/>
                <w:sz w:val="21"/>
                <w:szCs w:val="21"/>
                <w:highlight w:val="none"/>
                <w:lang w:eastAsia="zh-CN"/>
              </w:rPr>
              <w:t>（其中环境敏感区一侧外延至敏感区域边界线）</w:t>
            </w:r>
            <w:r>
              <w:rPr>
                <w:rFonts w:hint="eastAsia" w:ascii="Times New Roman" w:hAnsi="Times New Roman" w:eastAsia="宋体" w:cs="Times New Roman"/>
                <w:caps w:val="0"/>
                <w:smallCaps w:val="0"/>
                <w:color w:val="auto"/>
                <w:spacing w:val="0"/>
                <w:w w:val="100"/>
                <w:position w:val="0"/>
                <w:sz w:val="21"/>
                <w:szCs w:val="21"/>
                <w:highlight w:val="none"/>
              </w:rPr>
              <w:t>构成的区域范围</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三</w:t>
            </w:r>
            <w:r>
              <w:rPr>
                <w:rFonts w:ascii="Times New Roman" w:hAnsi="Times New Roman" w:eastAsia="宋体" w:cs="Times New Roman"/>
                <w:caps w:val="0"/>
                <w:smallCaps w:val="0"/>
                <w:color w:val="auto"/>
                <w:spacing w:val="0"/>
                <w:w w:val="100"/>
                <w:position w:val="0"/>
                <w:sz w:val="21"/>
                <w:szCs w:val="21"/>
                <w:highlight w:val="none"/>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土壤</w:t>
            </w:r>
            <w:r>
              <w:rPr>
                <w:rFonts w:hint="eastAsia" w:cs="Times New Roman"/>
                <w:caps w:val="0"/>
                <w:smallCaps w:val="0"/>
                <w:color w:val="auto"/>
                <w:spacing w:val="0"/>
                <w:w w:val="100"/>
                <w:position w:val="0"/>
                <w:sz w:val="21"/>
                <w:szCs w:val="21"/>
                <w:highlight w:val="none"/>
                <w:lang w:eastAsia="zh-CN"/>
              </w:rPr>
              <w:t>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占地范围外</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0.</w:t>
            </w:r>
            <w:r>
              <w:rPr>
                <w:rFonts w:hint="eastAsia" w:cs="Times New Roman"/>
                <w:caps w:val="0"/>
                <w:smallCaps w:val="0"/>
                <w:color w:val="auto"/>
                <w:spacing w:val="0"/>
                <w:w w:val="100"/>
                <w:position w:val="0"/>
                <w:sz w:val="21"/>
                <w:szCs w:val="21"/>
                <w:highlight w:val="none"/>
                <w:lang w:val="en-US" w:eastAsia="zh-CN"/>
              </w:rPr>
              <w:t>05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km范围内</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cs="Times New Roman"/>
                <w:caps w:val="0"/>
                <w:smallCaps w:val="0"/>
                <w:color w:val="auto"/>
                <w:spacing w:val="0"/>
                <w:w w:val="100"/>
                <w:position w:val="0"/>
                <w:sz w:val="21"/>
                <w:szCs w:val="21"/>
                <w:highlight w:val="none"/>
                <w:lang w:eastAsia="zh-CN"/>
              </w:rPr>
              <w:t>三</w:t>
            </w:r>
            <w:r>
              <w:rPr>
                <w:rFonts w:hint="eastAsia" w:ascii="Times New Roman" w:hAnsi="Times New Roman" w:eastAsia="宋体" w:cs="Times New Roman"/>
                <w:caps w:val="0"/>
                <w:smallCaps w:val="0"/>
                <w:color w:val="auto"/>
                <w:spacing w:val="0"/>
                <w:w w:val="100"/>
                <w:position w:val="0"/>
                <w:sz w:val="21"/>
                <w:szCs w:val="21"/>
                <w:highlight w:val="none"/>
                <w:lang w:eastAsia="zh-CN"/>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地表水环境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库里泡</w:t>
            </w:r>
            <w:r>
              <w:rPr>
                <w:rFonts w:hint="eastAsia" w:cs="Times New Roman"/>
                <w:caps w:val="0"/>
                <w:smallCaps w:val="0"/>
                <w:color w:val="auto"/>
                <w:spacing w:val="0"/>
                <w:w w:val="100"/>
                <w:position w:val="0"/>
                <w:sz w:val="21"/>
                <w:szCs w:val="21"/>
                <w:highlight w:val="none"/>
                <w:lang w:eastAsia="zh-CN"/>
              </w:rPr>
              <w:t>水体</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三级B</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0"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生态</w:t>
            </w:r>
            <w:r>
              <w:rPr>
                <w:rFonts w:hint="eastAsia" w:cs="Times New Roman"/>
                <w:caps w:val="0"/>
                <w:smallCaps w:val="0"/>
                <w:color w:val="auto"/>
                <w:spacing w:val="0"/>
                <w:w w:val="100"/>
                <w:position w:val="0"/>
                <w:sz w:val="21"/>
                <w:szCs w:val="21"/>
                <w:highlight w:val="none"/>
                <w:lang w:eastAsia="zh-CN"/>
              </w:rPr>
              <w:t>环境</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val="en-US" w:eastAsia="zh-CN"/>
              </w:rPr>
              <w:t>/</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简单分析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4" w:hRule="atLeast"/>
          <w:jc w:val="center"/>
        </w:trPr>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环境风险</w:t>
            </w:r>
          </w:p>
        </w:tc>
        <w:tc>
          <w:tcPr>
            <w:tcW w:w="66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w:t>
            </w:r>
          </w:p>
        </w:tc>
        <w:tc>
          <w:tcPr>
            <w:tcW w:w="12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简单分析</w:t>
            </w:r>
          </w:p>
        </w:tc>
      </w:tr>
    </w:tbl>
    <w:p>
      <w:pPr>
        <w:bidi w:val="0"/>
        <w:rPr>
          <w:color w:val="auto"/>
          <w:highlight w:val="none"/>
        </w:rPr>
      </w:pPr>
      <w:r>
        <w:rPr>
          <w:color w:val="auto"/>
          <w:highlight w:val="none"/>
        </w:rPr>
        <w:t>评价范围详见图</w:t>
      </w:r>
      <w:r>
        <w:rPr>
          <w:rFonts w:hint="eastAsia"/>
          <w:color w:val="auto"/>
          <w:highlight w:val="none"/>
          <w:lang w:val="en-US" w:eastAsia="zh-CN"/>
        </w:rPr>
        <w:t>2.5.3-1至图</w:t>
      </w:r>
      <w:r>
        <w:rPr>
          <w:color w:val="auto"/>
          <w:highlight w:val="none"/>
        </w:rPr>
        <w:t>2.</w:t>
      </w:r>
      <w:r>
        <w:rPr>
          <w:rFonts w:hint="eastAsia"/>
          <w:color w:val="auto"/>
          <w:highlight w:val="none"/>
          <w:lang w:val="en-US" w:eastAsia="zh-CN"/>
        </w:rPr>
        <w:t>5.3</w:t>
      </w:r>
      <w:r>
        <w:rPr>
          <w:color w:val="auto"/>
          <w:highlight w:val="none"/>
        </w:rPr>
        <w:t>-</w:t>
      </w:r>
      <w:r>
        <w:rPr>
          <w:rFonts w:hint="eastAsia"/>
          <w:color w:val="auto"/>
          <w:highlight w:val="none"/>
          <w:lang w:val="en-US" w:eastAsia="zh-CN"/>
        </w:rPr>
        <w:t>5</w:t>
      </w:r>
      <w:r>
        <w:rPr>
          <w:color w:val="auto"/>
          <w:highlight w:val="none"/>
        </w:rPr>
        <w:t>。</w:t>
      </w:r>
    </w:p>
    <w:p>
      <w:pPr>
        <w:keepNext w:val="0"/>
        <w:keepLines w:val="0"/>
        <w:pageBreakBefore w:val="0"/>
        <w:kinsoku/>
        <w:wordWrap/>
        <w:overflowPunct/>
        <w:topLinePunct w:val="0"/>
        <w:bidi w:val="0"/>
        <w:spacing w:after="0"/>
        <w:ind w:left="0"/>
        <w:textAlignment w:val="auto"/>
        <w:rPr>
          <w:rFonts w:hint="eastAsia" w:ascii="Times New Roman" w:hAnsi="Times New Roman" w:eastAsia="宋体" w:cs="Times New Roman"/>
          <w:color w:val="auto"/>
          <w:spacing w:val="0"/>
          <w:w w:val="99"/>
          <w:position w:val="0"/>
          <w:sz w:val="21"/>
          <w:highlight w:val="none"/>
        </w:rPr>
        <w:sectPr>
          <w:footerReference r:id="rId13"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0" w:charSpace="0"/>
        </w:sectPr>
      </w:pPr>
    </w:p>
    <w:p>
      <w:pPr>
        <w:pStyle w:val="4"/>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eastAsia" w:ascii="Times New Roman" w:hAnsi="Times New Roman" w:eastAsia="宋体" w:cs="Times New Roman"/>
          <w:caps w:val="0"/>
          <w:smallCaps w:val="0"/>
          <w:color w:val="auto"/>
          <w:spacing w:val="0"/>
          <w:w w:val="99"/>
          <w:position w:val="0"/>
          <w:highlight w:val="none"/>
          <w:lang w:eastAsia="zh-CN"/>
        </w:rPr>
      </w:pPr>
      <w:bookmarkStart w:id="147" w:name="_bookmark32"/>
      <w:bookmarkEnd w:id="147"/>
      <w:bookmarkStart w:id="148" w:name="_bookmark32"/>
      <w:bookmarkEnd w:id="148"/>
      <w:r>
        <w:rPr>
          <w:rFonts w:hint="eastAsia" w:ascii="Times New Roman" w:hAnsi="Times New Roman" w:eastAsia="宋体" w:cs="Times New Roman"/>
          <w:caps w:val="0"/>
          <w:smallCaps w:val="0"/>
          <w:color w:val="auto"/>
          <w:spacing w:val="0"/>
          <w:w w:val="99"/>
          <w:position w:val="0"/>
          <w:highlight w:val="none"/>
          <w:lang w:eastAsia="zh-CN"/>
        </w:rPr>
        <w:drawing>
          <wp:inline distT="0" distB="0" distL="114300" distR="114300">
            <wp:extent cx="8854440" cy="5149215"/>
            <wp:effectExtent l="0" t="0" r="3810" b="13335"/>
            <wp:docPr id="2" name="图片 2" descr="b3ad05f958e4533aea7b1ce0f93b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3ad05f958e4533aea7b1ce0f93b26c"/>
                    <pic:cNvPicPr>
                      <a:picLocks noChangeAspect="1"/>
                    </pic:cNvPicPr>
                  </pic:nvPicPr>
                  <pic:blipFill>
                    <a:blip r:embed="rId23"/>
                    <a:stretch>
                      <a:fillRect/>
                    </a:stretch>
                  </pic:blipFill>
                  <pic:spPr>
                    <a:xfrm>
                      <a:off x="0" y="0"/>
                      <a:ext cx="8854440" cy="5149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color w:val="auto"/>
          <w:highlight w:val="none"/>
        </w:rPr>
        <w:sectPr>
          <w:pgSz w:w="16838" w:h="11911" w:orient="landscape"/>
          <w:pgMar w:top="1417" w:right="1417" w:bottom="1417" w:left="1417" w:header="879" w:footer="992" w:gutter="0"/>
          <w:paperSrc/>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szCs w:val="22"/>
          <w:highlight w:val="none"/>
          <w:lang w:val="zh-CN" w:eastAsia="zh-CN" w:bidi="zh-CN"/>
        </w:rPr>
        <w:t>图</w:t>
      </w:r>
      <w:r>
        <w:rPr>
          <w:rFonts w:hint="eastAsia" w:ascii="Times New Roman" w:hAnsi="Times New Roman" w:eastAsia="宋体" w:cs="Times New Roman"/>
          <w:color w:val="auto"/>
          <w:sz w:val="24"/>
          <w:szCs w:val="22"/>
          <w:highlight w:val="none"/>
          <w:lang w:val="en-US" w:eastAsia="zh-CN" w:bidi="zh-CN"/>
        </w:rPr>
        <w:t>2.5.3-1</w:t>
      </w:r>
      <w:r>
        <w:rPr>
          <w:rFonts w:hint="eastAsia" w:ascii="Times New Roman" w:hAnsi="Times New Roman" w:eastAsia="宋体" w:cs="Times New Roman"/>
          <w:color w:val="auto"/>
          <w:sz w:val="24"/>
          <w:szCs w:val="22"/>
          <w:highlight w:val="none"/>
          <w:lang w:val="zh-CN" w:eastAsia="zh-CN" w:bidi="zh-CN"/>
        </w:rPr>
        <w:t xml:space="preserve">  环境空气评价范围</w:t>
      </w:r>
    </w:p>
    <w:p>
      <w:pPr>
        <w:spacing w:line="240" w:lineRule="auto"/>
        <w:jc w:val="center"/>
        <w:rPr>
          <w:rFonts w:hint="eastAsia" w:ascii="Times New Roman" w:hAnsi="Times New Roman" w:eastAsia="宋体" w:cs="Times New Roman"/>
          <w:b/>
          <w:caps w:val="0"/>
          <w:smallCaps w:val="0"/>
          <w:color w:val="auto"/>
          <w:spacing w:val="0"/>
          <w:w w:val="99"/>
          <w:position w:val="0"/>
          <w:szCs w:val="24"/>
          <w:highlight w:val="none"/>
          <w:lang w:eastAsia="zh-CN"/>
        </w:r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caps w:val="0"/>
          <w:smallCaps w:val="0"/>
          <w:color w:val="auto"/>
          <w:spacing w:val="0"/>
          <w:w w:val="99"/>
          <w:position w:val="0"/>
          <w:szCs w:val="24"/>
          <w:highlight w:val="none"/>
          <w:lang w:eastAsia="zh-CN"/>
        </w:rPr>
      </w:pPr>
      <w:r>
        <w:rPr>
          <w:rFonts w:hint="eastAsia" w:ascii="Times New Roman" w:hAnsi="Times New Roman" w:eastAsia="宋体" w:cs="Times New Roman"/>
          <w:b/>
          <w:caps w:val="0"/>
          <w:smallCaps w:val="0"/>
          <w:color w:val="auto"/>
          <w:spacing w:val="0"/>
          <w:w w:val="99"/>
          <w:position w:val="0"/>
          <w:szCs w:val="24"/>
          <w:highlight w:val="none"/>
          <w:lang w:eastAsia="zh-CN"/>
        </w:rPr>
        <w:drawing>
          <wp:inline distT="0" distB="0" distL="114300" distR="114300">
            <wp:extent cx="5810250" cy="5010150"/>
            <wp:effectExtent l="0" t="0" r="0" b="0"/>
            <wp:docPr id="4" name="图片 4" descr="7679aa135ffe1d3f5d73f85c0e24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679aa135ffe1d3f5d73f85c0e2451d"/>
                    <pic:cNvPicPr>
                      <a:picLocks noChangeAspect="1"/>
                    </pic:cNvPicPr>
                  </pic:nvPicPr>
                  <pic:blipFill>
                    <a:blip r:embed="rId24"/>
                    <a:stretch>
                      <a:fillRect/>
                    </a:stretch>
                  </pic:blipFill>
                  <pic:spPr>
                    <a:xfrm>
                      <a:off x="0" y="0"/>
                      <a:ext cx="5810250" cy="50101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sz w:val="24"/>
          <w:szCs w:val="22"/>
          <w:highlight w:val="none"/>
          <w:lang w:val="zh-CN" w:eastAsia="zh-CN" w:bidi="zh-CN"/>
        </w:rPr>
      </w:pPr>
      <w:r>
        <w:rPr>
          <w:rFonts w:hint="eastAsia" w:ascii="Times New Roman" w:hAnsi="Times New Roman" w:eastAsia="宋体" w:cs="Times New Roman"/>
          <w:color w:val="auto"/>
          <w:sz w:val="24"/>
          <w:szCs w:val="22"/>
          <w:highlight w:val="none"/>
          <w:lang w:val="zh-CN" w:eastAsia="zh-CN" w:bidi="zh-CN"/>
        </w:rPr>
        <w:t>图</w:t>
      </w:r>
      <w:r>
        <w:rPr>
          <w:rFonts w:hint="eastAsia" w:ascii="Times New Roman" w:hAnsi="Times New Roman" w:eastAsia="宋体" w:cs="Times New Roman"/>
          <w:color w:val="auto"/>
          <w:sz w:val="24"/>
          <w:szCs w:val="22"/>
          <w:highlight w:val="none"/>
          <w:lang w:val="en-US" w:eastAsia="zh-CN" w:bidi="zh-CN"/>
        </w:rPr>
        <w:t>2.5.3</w:t>
      </w:r>
      <w:r>
        <w:rPr>
          <w:rFonts w:hint="eastAsia" w:ascii="Times New Roman" w:hAnsi="Times New Roman" w:eastAsia="宋体" w:cs="Times New Roman"/>
          <w:color w:val="auto"/>
          <w:sz w:val="24"/>
          <w:szCs w:val="22"/>
          <w:highlight w:val="none"/>
          <w:lang w:val="zh-CN" w:eastAsia="zh-CN" w:bidi="zh-CN"/>
        </w:rPr>
        <w:t>-2  地下水评价范围</w:t>
      </w:r>
    </w:p>
    <w:p>
      <w:pPr>
        <w:pStyle w:val="4"/>
        <w:rPr>
          <w:rFonts w:hint="eastAsia" w:ascii="Times New Roman" w:hAnsi="Times New Roman" w:eastAsia="宋体" w:cs="Times New Roman"/>
          <w:caps w:val="0"/>
          <w:smallCaps w:val="0"/>
          <w:color w:val="auto"/>
          <w:spacing w:val="0"/>
          <w:w w:val="99"/>
          <w:position w:val="0"/>
          <w:highlight w:val="none"/>
          <w:lang w:eastAsia="zh-CN"/>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caps w:val="0"/>
          <w:smallCaps w:val="0"/>
          <w:color w:val="auto"/>
          <w:spacing w:val="0"/>
          <w:w w:val="99"/>
          <w:position w:val="0"/>
          <w:szCs w:val="24"/>
          <w:highlight w:val="none"/>
          <w:lang w:eastAsia="zh-CN"/>
        </w:rPr>
      </w:pPr>
      <w:r>
        <w:rPr>
          <w:rFonts w:hint="eastAsia" w:ascii="Times New Roman" w:hAnsi="Times New Roman" w:eastAsia="宋体" w:cs="Times New Roman"/>
          <w:b/>
          <w:caps w:val="0"/>
          <w:smallCaps w:val="0"/>
          <w:color w:val="auto"/>
          <w:spacing w:val="0"/>
          <w:w w:val="99"/>
          <w:position w:val="0"/>
          <w:szCs w:val="24"/>
          <w:highlight w:val="none"/>
          <w:lang w:eastAsia="zh-CN"/>
        </w:rPr>
        <w:drawing>
          <wp:inline distT="0" distB="0" distL="114300" distR="114300">
            <wp:extent cx="7628255" cy="4999355"/>
            <wp:effectExtent l="0" t="0" r="10795" b="10795"/>
            <wp:docPr id="20" name="图片 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11"/>
                    <pic:cNvPicPr>
                      <a:picLocks noChangeAspect="1"/>
                    </pic:cNvPicPr>
                  </pic:nvPicPr>
                  <pic:blipFill>
                    <a:blip r:embed="rId25"/>
                    <a:stretch>
                      <a:fillRect/>
                    </a:stretch>
                  </pic:blipFill>
                  <pic:spPr>
                    <a:xfrm>
                      <a:off x="0" y="0"/>
                      <a:ext cx="7628255" cy="49993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图2.5.3-3  声评价范围</w:t>
      </w:r>
    </w:p>
    <w:p>
      <w:pPr>
        <w:pStyle w:val="4"/>
        <w:rPr>
          <w:rFonts w:ascii="Times New Roman" w:hAnsi="Times New Roman" w:eastAsia="宋体" w:cs="Times New Roman"/>
          <w:caps w:val="0"/>
          <w:smallCaps w:val="0"/>
          <w:color w:val="auto"/>
          <w:spacing w:val="0"/>
          <w:w w:val="99"/>
          <w:position w:val="0"/>
          <w:highlight w:val="none"/>
        </w:rPr>
        <w:sectPr>
          <w:pgSz w:w="16838" w:h="11911" w:orient="landscape"/>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pPr>
      <w:r>
        <w:drawing>
          <wp:inline distT="0" distB="0" distL="114300" distR="114300">
            <wp:extent cx="7723505" cy="5303520"/>
            <wp:effectExtent l="0" t="0" r="10795" b="1143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6"/>
                    <a:stretch>
                      <a:fillRect/>
                    </a:stretch>
                  </pic:blipFill>
                  <pic:spPr>
                    <a:xfrm>
                      <a:off x="0" y="0"/>
                      <a:ext cx="7723505" cy="53035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eastAsia="宋体" w:cs="Times New Roman"/>
          <w:b w:val="0"/>
          <w:bCs/>
          <w:caps w:val="0"/>
          <w:smallCaps w:val="0"/>
          <w:color w:val="auto"/>
          <w:spacing w:val="0"/>
          <w:w w:val="99"/>
          <w:position w:val="0"/>
          <w:szCs w:val="24"/>
          <w:highlight w:val="none"/>
        </w:rPr>
      </w:pPr>
      <w:r>
        <w:rPr>
          <w:rFonts w:hint="eastAsia" w:ascii="Times New Roman" w:hAnsi="Times New Roman" w:eastAsia="宋体" w:cs="Times New Roman"/>
          <w:color w:val="auto"/>
          <w:sz w:val="24"/>
          <w:szCs w:val="22"/>
          <w:highlight w:val="none"/>
          <w:lang w:val="en-US" w:eastAsia="zh-CN" w:bidi="zh-CN"/>
        </w:rPr>
        <w:t>图2.5.3-4  土壤评价范围</w:t>
      </w:r>
    </w:p>
    <w:p>
      <w:pPr>
        <w:pStyle w:val="4"/>
        <w:rPr>
          <w:rFonts w:ascii="Times New Roman" w:hAnsi="Times New Roman" w:eastAsia="宋体" w:cs="Times New Roman"/>
          <w:caps w:val="0"/>
          <w:smallCaps w:val="0"/>
          <w:color w:val="auto"/>
          <w:spacing w:val="0"/>
          <w:w w:val="99"/>
          <w:position w:val="0"/>
          <w:highlight w:val="none"/>
        </w:rPr>
        <w:sectPr>
          <w:pgSz w:w="16838" w:h="11911" w:orient="landscape"/>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caps w:val="0"/>
          <w:smallCaps w:val="0"/>
          <w:color w:val="auto"/>
          <w:spacing w:val="0"/>
          <w:w w:val="99"/>
          <w:position w:val="0"/>
          <w:szCs w:val="24"/>
          <w:highlight w:val="none"/>
          <w:lang w:eastAsia="zh-CN"/>
        </w:rPr>
      </w:pPr>
    </w:p>
    <w:p>
      <w:pPr>
        <w:pStyle w:val="6"/>
        <w:keepNext/>
        <w:keepLines/>
        <w:autoSpaceDE/>
        <w:autoSpaceDN/>
        <w:bidi w:val="0"/>
        <w:spacing w:before="0" w:after="0" w:line="500" w:lineRule="exact"/>
        <w:ind w:left="0" w:right="0" w:firstLine="0" w:firstLineChars="0"/>
        <w:jc w:val="both"/>
        <w:outlineLvl w:val="1"/>
        <w:rPr>
          <w:rFonts w:ascii="Times New Roman" w:hAnsi="Times New Roman" w:eastAsia="宋体" w:cs="Times New Roman"/>
          <w:bCs w:val="0"/>
          <w:color w:val="auto"/>
          <w:kern w:val="2"/>
          <w:szCs w:val="20"/>
          <w:highlight w:val="none"/>
          <w:lang w:val="en-US" w:bidi="ar-SA"/>
        </w:rPr>
      </w:pPr>
      <w:bookmarkStart w:id="149" w:name="_Toc23602"/>
      <w:bookmarkStart w:id="150" w:name="_Toc30011"/>
      <w:bookmarkStart w:id="151" w:name="_Toc288"/>
      <w:bookmarkStart w:id="152" w:name="_Toc15961"/>
      <w:bookmarkStart w:id="153" w:name="_Toc6802"/>
      <w:bookmarkStart w:id="154" w:name="_Toc3133"/>
      <w:bookmarkStart w:id="155" w:name="_Toc31391"/>
      <w:bookmarkStart w:id="156" w:name="_Toc9589"/>
      <w:r>
        <w:rPr>
          <w:rFonts w:ascii="Times New Roman" w:hAnsi="Times New Roman" w:eastAsia="宋体" w:cs="Times New Roman"/>
          <w:bCs w:val="0"/>
          <w:color w:val="auto"/>
          <w:kern w:val="2"/>
          <w:szCs w:val="20"/>
          <w:highlight w:val="none"/>
          <w:lang w:val="en-US" w:bidi="ar-SA"/>
        </w:rPr>
        <w:t>2.</w:t>
      </w:r>
      <w:r>
        <w:rPr>
          <w:rFonts w:hint="eastAsia" w:ascii="Times New Roman" w:hAnsi="Times New Roman" w:eastAsia="宋体" w:cs="Times New Roman"/>
          <w:bCs w:val="0"/>
          <w:color w:val="auto"/>
          <w:kern w:val="2"/>
          <w:szCs w:val="20"/>
          <w:highlight w:val="none"/>
          <w:lang w:val="en-US" w:eastAsia="zh-CN" w:bidi="ar-SA"/>
        </w:rPr>
        <w:t>6</w:t>
      </w:r>
      <w:r>
        <w:rPr>
          <w:rFonts w:ascii="Times New Roman" w:hAnsi="Times New Roman" w:eastAsia="宋体" w:cs="Times New Roman"/>
          <w:bCs w:val="0"/>
          <w:color w:val="auto"/>
          <w:kern w:val="2"/>
          <w:szCs w:val="20"/>
          <w:highlight w:val="none"/>
          <w:lang w:val="en-US" w:bidi="ar-SA"/>
        </w:rPr>
        <w:t>环境敏感目标</w:t>
      </w:r>
      <w:bookmarkEnd w:id="149"/>
      <w:bookmarkEnd w:id="150"/>
      <w:bookmarkEnd w:id="151"/>
      <w:bookmarkEnd w:id="152"/>
      <w:bookmarkEnd w:id="153"/>
      <w:bookmarkEnd w:id="154"/>
      <w:bookmarkEnd w:id="155"/>
      <w:bookmarkEnd w:id="156"/>
    </w:p>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根据工程性质、周围环境特征及评价范围内环境敏感点的分布。</w:t>
      </w:r>
    </w:p>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本项目位于</w:t>
      </w:r>
      <w:r>
        <w:rPr>
          <w:rFonts w:hint="eastAsia" w:cs="Times New Roman"/>
          <w:color w:val="auto"/>
          <w:highlight w:val="none"/>
          <w:lang w:eastAsia="zh-CN"/>
        </w:rPr>
        <w:t>黑龙江大同经济开发区纸业园区</w:t>
      </w:r>
      <w:r>
        <w:rPr>
          <w:rFonts w:hint="eastAsia" w:ascii="Times New Roman" w:hAnsi="Times New Roman" w:eastAsia="宋体" w:cs="Times New Roman"/>
          <w:color w:val="auto"/>
          <w:highlight w:val="none"/>
          <w:lang w:eastAsia="zh-CN"/>
        </w:rPr>
        <w:t>，利用本项目原有厂址进行改建，项目东侧为大庆宏亚纸业有限公司、西侧为福庆纸业有限公司，北侧为德昌伟业化工有限公司，南侧为空地。经现场调查，本项目评价区内无国家、省、市级自然保护区、风 景名胜区和文物保护单位，环境保护目标主要为评价区范围内受项目 排污影响的大气环境、水环境、声环境、土壤环境。同时，通过对评 价范围内环境及人群分布情况的调查，确定本项目的环境保护目标， 项目环境保护目标见表2.</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-1。</w:t>
      </w:r>
    </w:p>
    <w:p>
      <w:pPr>
        <w:bidi w:val="0"/>
        <w:ind w:firstLine="1028"/>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表2.</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 xml:space="preserve">-1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eastAsia="zh-CN"/>
        </w:rPr>
        <w:t>环境敏感目标</w:t>
      </w:r>
    </w:p>
    <w:tbl>
      <w:tblPr>
        <w:tblStyle w:val="23"/>
        <w:tblW w:w="90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250"/>
        <w:gridCol w:w="1846"/>
        <w:gridCol w:w="1909"/>
        <w:gridCol w:w="1917"/>
        <w:gridCol w:w="2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31" w:hRule="atLeast"/>
        </w:trPr>
        <w:tc>
          <w:tcPr>
            <w:tcW w:w="1250" w:type="dxa"/>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r>
              <w:rPr>
                <w:rFonts w:ascii="Times New Roman" w:hAnsi="Times New Roman" w:eastAsia="宋体" w:cs="Times New Roman"/>
                <w:caps w:val="0"/>
                <w:smallCaps w:val="0"/>
                <w:color w:val="auto"/>
                <w:spacing w:val="0"/>
                <w:w w:val="100"/>
                <w:kern w:val="2"/>
                <w:position w:val="0"/>
                <w:sz w:val="21"/>
                <w:szCs w:val="21"/>
                <w:highlight w:val="none"/>
              </w:rPr>
              <w:t>环境要素</w:t>
            </w: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保护对象</w:t>
            </w:r>
          </w:p>
        </w:tc>
        <w:tc>
          <w:tcPr>
            <w:tcW w:w="1909" w:type="dxa"/>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kern w:val="2"/>
                <w:position w:val="0"/>
                <w:sz w:val="21"/>
                <w:szCs w:val="21"/>
                <w:highlight w:val="none"/>
              </w:rPr>
              <w:t>相对厂区边界位置、</w:t>
            </w:r>
            <w:r>
              <w:rPr>
                <w:rFonts w:ascii="Times New Roman" w:hAnsi="Times New Roman" w:eastAsia="宋体" w:cs="Times New Roman"/>
                <w:caps w:val="0"/>
                <w:smallCaps w:val="0"/>
                <w:color w:val="auto"/>
                <w:spacing w:val="0"/>
                <w:w w:val="100"/>
                <w:position w:val="0"/>
                <w:sz w:val="21"/>
                <w:szCs w:val="21"/>
                <w:highlight w:val="none"/>
              </w:rPr>
              <w:t>最近距离m</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受影响人数</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人）</w:t>
            </w:r>
          </w:p>
        </w:tc>
        <w:tc>
          <w:tcPr>
            <w:tcW w:w="2135"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功能要求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50" w:type="dxa"/>
            <w:vMerge w:val="restart"/>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r>
              <w:rPr>
                <w:rFonts w:ascii="Times New Roman" w:hAnsi="Times New Roman" w:eastAsia="宋体" w:cs="Times New Roman"/>
                <w:caps w:val="0"/>
                <w:smallCaps w:val="0"/>
                <w:color w:val="auto"/>
                <w:spacing w:val="0"/>
                <w:w w:val="100"/>
                <w:kern w:val="2"/>
                <w:position w:val="0"/>
                <w:sz w:val="21"/>
                <w:szCs w:val="21"/>
                <w:highlight w:val="none"/>
              </w:rPr>
              <w:t>环境空气</w:t>
            </w: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老山头乡</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w:t>
            </w:r>
            <w:r>
              <w:rPr>
                <w:rFonts w:ascii="Times New Roman" w:hAnsi="Times New Roman" w:eastAsia="宋体" w:cs="Times New Roman"/>
                <w:caps w:val="0"/>
                <w:smallCaps w:val="0"/>
                <w:color w:val="auto"/>
                <w:spacing w:val="0"/>
                <w:w w:val="100"/>
                <w:position w:val="0"/>
                <w:sz w:val="21"/>
                <w:szCs w:val="21"/>
                <w:highlight w:val="none"/>
              </w:rPr>
              <w:t>，23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73</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3000</w:t>
            </w:r>
          </w:p>
        </w:tc>
        <w:tc>
          <w:tcPr>
            <w:tcW w:w="2135"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《环境空气质量标准》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GB3095-2012）</w:t>
            </w:r>
          </w:p>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中二类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50" w:type="dxa"/>
            <w:vMerge w:val="continue"/>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四大家屯</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SW，2426</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500</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50" w:type="dxa"/>
            <w:vMerge w:val="continue"/>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乔家围子</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SE，1241</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300</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50" w:type="dxa"/>
            <w:vMerge w:val="continue"/>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后乔家围子</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SE，210</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300</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50" w:type="dxa"/>
            <w:vMerge w:val="continue"/>
            <w:vAlign w:val="center"/>
          </w:tcPr>
          <w:p>
            <w:pPr>
              <w:pStyle w:val="30"/>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1"/>
                <w:highlight w:val="none"/>
              </w:rPr>
            </w:pP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永久村</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NE，1844</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500</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1" w:hRule="atLeast"/>
        </w:trPr>
        <w:tc>
          <w:tcPr>
            <w:tcW w:w="1250"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地下水环境</w:t>
            </w: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散户（</w:t>
            </w:r>
            <w:r>
              <w:rPr>
                <w:rFonts w:hint="eastAsia" w:cs="Times New Roman"/>
                <w:color w:val="auto"/>
                <w:w w:val="100"/>
                <w:sz w:val="21"/>
                <w:highlight w:val="none"/>
                <w:lang w:val="en-US" w:eastAsia="zh-CN"/>
              </w:rPr>
              <w:t>1</w:t>
            </w:r>
            <w:r>
              <w:rPr>
                <w:rFonts w:hint="eastAsia" w:cs="Times New Roman"/>
                <w:color w:val="auto"/>
                <w:w w:val="100"/>
                <w:sz w:val="21"/>
                <w:highlight w:val="none"/>
                <w:lang w:eastAsia="zh-CN"/>
              </w:rPr>
              <w:t>户、赵家</w:t>
            </w:r>
            <w:r>
              <w:rPr>
                <w:rFonts w:hint="eastAsia" w:ascii="Times New Roman" w:hAnsi="Times New Roman" w:eastAsia="宋体" w:cs="Times New Roman"/>
                <w:color w:val="auto"/>
                <w:w w:val="100"/>
                <w:sz w:val="21"/>
                <w:highlight w:val="none"/>
                <w:lang w:eastAsia="zh-CN"/>
              </w:rPr>
              <w:t>）</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N</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1216</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cs="Times New Roman"/>
                <w:caps w:val="0"/>
                <w:smallCaps w:val="0"/>
                <w:color w:val="auto"/>
                <w:spacing w:val="0"/>
                <w:w w:val="100"/>
                <w:position w:val="0"/>
                <w:sz w:val="21"/>
                <w:szCs w:val="21"/>
                <w:highlight w:val="none"/>
                <w:lang w:val="en-US" w:eastAsia="zh-CN"/>
              </w:rPr>
              <w:t>75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lang w:val="en-US" w:eastAsia="zh-CN"/>
              </w:rPr>
              <w:t>，</w:t>
            </w:r>
            <w:r>
              <w:rPr>
                <w:rFonts w:hint="eastAsia" w:ascii="Times New Roman" w:hAnsi="Times New Roman" w:eastAsia="宋体" w:cs="Times New Roman"/>
                <w:color w:val="auto"/>
                <w:kern w:val="2"/>
                <w:sz w:val="21"/>
                <w:szCs w:val="21"/>
                <w:highlight w:val="none"/>
                <w:lang w:val="en-US" w:eastAsia="zh-CN" w:bidi="ar-SA"/>
              </w:rPr>
              <w:t>生活饮用水</w:t>
            </w:r>
          </w:p>
        </w:tc>
        <w:tc>
          <w:tcPr>
            <w:tcW w:w="2135"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《地下水质量标准》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GB/T14848-2017）Ⅲ类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62" w:hRule="atLeast"/>
        </w:trPr>
        <w:tc>
          <w:tcPr>
            <w:tcW w:w="125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大庆金开元加工厂</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NE</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686</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cs="Times New Roman"/>
                <w:caps w:val="0"/>
                <w:smallCaps w:val="0"/>
                <w:color w:val="auto"/>
                <w:spacing w:val="0"/>
                <w:w w:val="100"/>
                <w:position w:val="0"/>
                <w:sz w:val="21"/>
                <w:szCs w:val="21"/>
                <w:highlight w:val="none"/>
                <w:lang w:val="en-US" w:eastAsia="zh-CN"/>
              </w:rPr>
              <w:t>74</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m、仅供该企业厂区生产、绿化用水井</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62" w:hRule="atLeast"/>
        </w:trPr>
        <w:tc>
          <w:tcPr>
            <w:tcW w:w="125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val="en-US" w:eastAsia="zh-CN"/>
              </w:rPr>
              <w:t>大庆虹桥纸业有限公司</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NW,423</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cs="Times New Roman"/>
                <w:caps w:val="0"/>
                <w:smallCaps w:val="0"/>
                <w:color w:val="auto"/>
                <w:spacing w:val="0"/>
                <w:w w:val="100"/>
                <w:position w:val="0"/>
                <w:sz w:val="21"/>
                <w:szCs w:val="21"/>
                <w:highlight w:val="none"/>
                <w:lang w:val="en-US" w:eastAsia="zh-CN"/>
              </w:rPr>
              <w:t>75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m、仅供该企业厂区生产、绿化用水井</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1" w:hRule="atLeast"/>
        </w:trPr>
        <w:tc>
          <w:tcPr>
            <w:tcW w:w="125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后桥家围子</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w:t>
            </w:r>
            <w:r>
              <w:rPr>
                <w:rFonts w:hint="eastAsia" w:cs="Times New Roman"/>
                <w:caps w:val="0"/>
                <w:smallCaps w:val="0"/>
                <w:color w:val="auto"/>
                <w:spacing w:val="0"/>
                <w:w w:val="100"/>
                <w:position w:val="0"/>
                <w:sz w:val="21"/>
                <w:szCs w:val="21"/>
                <w:highlight w:val="none"/>
                <w:lang w:val="en-US" w:eastAsia="zh-CN"/>
              </w:rPr>
              <w:t>210</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深</w:t>
            </w:r>
            <w:r>
              <w:rPr>
                <w:rFonts w:hint="eastAsia" w:cs="Times New Roman"/>
                <w:caps w:val="0"/>
                <w:smallCaps w:val="0"/>
                <w:color w:val="auto"/>
                <w:spacing w:val="0"/>
                <w:w w:val="100"/>
                <w:position w:val="0"/>
                <w:sz w:val="21"/>
                <w:szCs w:val="21"/>
                <w:highlight w:val="none"/>
                <w:lang w:val="en-US" w:eastAsia="zh-CN"/>
              </w:rPr>
              <w:t>71</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lang w:val="en-US" w:eastAsia="zh-CN"/>
              </w:rPr>
              <w:t>，</w:t>
            </w:r>
            <w:r>
              <w:rPr>
                <w:rFonts w:hint="eastAsia" w:ascii="Times New Roman" w:hAnsi="Times New Roman" w:eastAsia="宋体" w:cs="Times New Roman"/>
                <w:color w:val="auto"/>
                <w:kern w:val="2"/>
                <w:sz w:val="21"/>
                <w:szCs w:val="21"/>
                <w:highlight w:val="none"/>
                <w:lang w:val="en-US" w:eastAsia="zh-CN" w:bidi="ar-SA"/>
              </w:rPr>
              <w:t>生活饮用水</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1" w:hRule="atLeast"/>
        </w:trPr>
        <w:tc>
          <w:tcPr>
            <w:tcW w:w="125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桥家围子水</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SE,1365</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深</w:t>
            </w:r>
            <w:r>
              <w:rPr>
                <w:rFonts w:hint="eastAsia" w:cs="Times New Roman"/>
                <w:caps w:val="0"/>
                <w:smallCaps w:val="0"/>
                <w:color w:val="auto"/>
                <w:spacing w:val="0"/>
                <w:w w:val="100"/>
                <w:position w:val="0"/>
                <w:sz w:val="21"/>
                <w:szCs w:val="21"/>
                <w:highlight w:val="none"/>
                <w:lang w:val="en-US" w:eastAsia="zh-CN"/>
              </w:rPr>
              <w:t>72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lang w:val="en-US" w:eastAsia="zh-CN"/>
              </w:rPr>
              <w:t>，</w:t>
            </w:r>
            <w:r>
              <w:rPr>
                <w:rFonts w:hint="eastAsia" w:ascii="Times New Roman" w:hAnsi="Times New Roman" w:eastAsia="宋体" w:cs="Times New Roman"/>
                <w:color w:val="auto"/>
                <w:kern w:val="2"/>
                <w:sz w:val="21"/>
                <w:szCs w:val="21"/>
                <w:highlight w:val="none"/>
                <w:lang w:val="en-US" w:eastAsia="zh-CN" w:bidi="ar-SA"/>
              </w:rPr>
              <w:t>生活饮用水</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62" w:hRule="atLeast"/>
        </w:trPr>
        <w:tc>
          <w:tcPr>
            <w:tcW w:w="1250"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46" w:type="dxa"/>
            <w:vAlign w:val="center"/>
          </w:tcPr>
          <w:p>
            <w:pPr>
              <w:pStyle w:val="31"/>
              <w:keepNext w:val="0"/>
              <w:keepLines w:val="0"/>
              <w:pageBreakBefore w:val="0"/>
              <w:widowControl w:val="0"/>
              <w:kinsoku/>
              <w:wordWrap/>
              <w:overflowPunct/>
              <w:topLinePunct w:val="0"/>
              <w:bidi w:val="0"/>
              <w:adjustRightInd/>
              <w:snapToGrid/>
              <w:spacing w:before="0"/>
              <w:ind w:firstLine="0" w:firstLineChars="0"/>
              <w:jc w:val="center"/>
              <w:textAlignment w:val="auto"/>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val="en-US" w:eastAsia="zh-CN"/>
              </w:rPr>
              <w:t>项目厂址</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cs="Times New Roman"/>
                <w:caps w:val="0"/>
                <w:smallCaps w:val="0"/>
                <w:color w:val="auto"/>
                <w:spacing w:val="0"/>
                <w:w w:val="100"/>
                <w:position w:val="0"/>
                <w:sz w:val="21"/>
                <w:szCs w:val="21"/>
                <w:highlight w:val="none"/>
                <w:lang w:val="en-US" w:eastAsia="zh-CN"/>
              </w:rPr>
              <w:t>74</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m、仅供该企业厂区生产、绿化用水井</w:t>
            </w:r>
          </w:p>
        </w:tc>
        <w:tc>
          <w:tcPr>
            <w:tcW w:w="2135"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1" w:hRule="atLeast"/>
        </w:trPr>
        <w:tc>
          <w:tcPr>
            <w:tcW w:w="1250"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地表水</w:t>
            </w:r>
          </w:p>
        </w:tc>
        <w:tc>
          <w:tcPr>
            <w:tcW w:w="1846"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库里泡</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SE，5200</w:t>
            </w:r>
          </w:p>
        </w:tc>
        <w:tc>
          <w:tcPr>
            <w:tcW w:w="1917"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2135"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b w:val="0"/>
                <w:bCs w:val="0"/>
                <w:caps w:val="0"/>
                <w:smallCaps w:val="0"/>
                <w:color w:val="auto"/>
                <w:spacing w:val="0"/>
                <w:w w:val="100"/>
                <w:position w:val="0"/>
                <w:sz w:val="21"/>
                <w:szCs w:val="20"/>
                <w:highlight w:val="none"/>
                <w:lang w:val="en-US" w:eastAsia="zh-CN" w:bidi="ar-SA"/>
              </w:rPr>
              <w:t>《地表水  环境质量标准》（GB3838-2002） 中</w:t>
            </w:r>
            <w:r>
              <w:rPr>
                <w:rFonts w:hint="eastAsia" w:cs="Times New Roman"/>
                <w:b w:val="0"/>
                <w:bCs w:val="0"/>
                <w:caps w:val="0"/>
                <w:smallCaps w:val="0"/>
                <w:color w:val="auto"/>
                <w:spacing w:val="0"/>
                <w:w w:val="100"/>
                <w:position w:val="0"/>
                <w:sz w:val="21"/>
                <w:szCs w:val="20"/>
                <w:highlight w:val="none"/>
                <w:lang w:val="en-US" w:eastAsia="zh-CN" w:bidi="ar-SA"/>
              </w:rPr>
              <w:t>Ⅴ</w:t>
            </w:r>
            <w:r>
              <w:rPr>
                <w:rFonts w:hint="eastAsia" w:ascii="Times New Roman" w:hAnsi="Times New Roman" w:eastAsia="宋体" w:cs="Times New Roman"/>
                <w:b w:val="0"/>
                <w:bCs w:val="0"/>
                <w:caps w:val="0"/>
                <w:smallCaps w:val="0"/>
                <w:color w:val="auto"/>
                <w:spacing w:val="0"/>
                <w:w w:val="100"/>
                <w:position w:val="0"/>
                <w:sz w:val="21"/>
                <w:szCs w:val="20"/>
                <w:highlight w:val="none"/>
                <w:lang w:val="en-US" w:eastAsia="zh-CN" w:bidi="ar-SA"/>
              </w:rPr>
              <w:t>类水体标准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1" w:hRule="atLeast"/>
        </w:trPr>
        <w:tc>
          <w:tcPr>
            <w:tcW w:w="1250"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声环境</w:t>
            </w:r>
          </w:p>
        </w:tc>
        <w:tc>
          <w:tcPr>
            <w:tcW w:w="5672" w:type="dxa"/>
            <w:gridSpan w:val="3"/>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厂界外200m范围内</w:t>
            </w:r>
          </w:p>
        </w:tc>
        <w:tc>
          <w:tcPr>
            <w:tcW w:w="2135"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《声环境质量标准》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GB3096-2008）</w:t>
            </w:r>
            <w:r>
              <w:rPr>
                <w:rFonts w:hint="eastAsia" w:cs="Times New Roman"/>
                <w:caps w:val="0"/>
                <w:smallCaps w:val="0"/>
                <w:color w:val="auto"/>
                <w:spacing w:val="0"/>
                <w:w w:val="10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441" w:hRule="atLeast"/>
        </w:trPr>
        <w:tc>
          <w:tcPr>
            <w:tcW w:w="1250"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土壤环境</w:t>
            </w:r>
          </w:p>
        </w:tc>
        <w:tc>
          <w:tcPr>
            <w:tcW w:w="5672" w:type="dxa"/>
            <w:gridSpan w:val="3"/>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val="en-US" w:eastAsia="zh-CN"/>
              </w:rPr>
              <w:t>占地范围内+</w:t>
            </w:r>
            <w:r>
              <w:rPr>
                <w:rFonts w:hint="eastAsia" w:ascii="Times New Roman" w:hAnsi="Times New Roman" w:eastAsia="宋体" w:cs="Times New Roman"/>
                <w:caps w:val="0"/>
                <w:smallCaps w:val="0"/>
                <w:color w:val="auto"/>
                <w:spacing w:val="0"/>
                <w:w w:val="100"/>
                <w:position w:val="0"/>
                <w:sz w:val="21"/>
                <w:szCs w:val="21"/>
                <w:highlight w:val="none"/>
              </w:rPr>
              <w:t>占地范围外</w:t>
            </w:r>
            <w:r>
              <w:rPr>
                <w:rFonts w:hint="eastAsia" w:cs="Times New Roman"/>
                <w:caps w:val="0"/>
                <w:smallCaps w:val="0"/>
                <w:color w:val="auto"/>
                <w:spacing w:val="0"/>
                <w:w w:val="100"/>
                <w:position w:val="0"/>
                <w:sz w:val="21"/>
                <w:szCs w:val="21"/>
                <w:highlight w:val="none"/>
                <w:lang w:val="en-US" w:eastAsia="zh-CN"/>
              </w:rPr>
              <w:t>50</w:t>
            </w:r>
            <w:r>
              <w:rPr>
                <w:rFonts w:hint="eastAsia" w:ascii="Times New Roman" w:hAnsi="Times New Roman" w:eastAsia="宋体" w:cs="Times New Roman"/>
                <w:caps w:val="0"/>
                <w:smallCaps w:val="0"/>
                <w:color w:val="auto"/>
                <w:spacing w:val="0"/>
                <w:w w:val="100"/>
                <w:position w:val="0"/>
                <w:sz w:val="21"/>
                <w:szCs w:val="21"/>
                <w:highlight w:val="none"/>
              </w:rPr>
              <w:t>m范围内</w:t>
            </w:r>
          </w:p>
        </w:tc>
        <w:tc>
          <w:tcPr>
            <w:tcW w:w="2135" w:type="dxa"/>
            <w:vAlign w:val="center"/>
          </w:tcPr>
          <w:p>
            <w:pPr>
              <w:pStyle w:val="4"/>
              <w:keepNext w:val="0"/>
              <w:keepLines w:val="0"/>
              <w:pageBreakBefore w:val="0"/>
              <w:widowControl w:val="0"/>
              <w:kinsoku/>
              <w:wordWrap/>
              <w:overflowPunct/>
              <w:topLinePunct w:val="0"/>
              <w:autoSpaceDE/>
              <w:autoSpaceDN/>
              <w:bidi w:val="0"/>
              <w:adjustRightInd/>
              <w:snapToGrid/>
              <w:spacing w:before="0" w:line="360" w:lineRule="exact"/>
              <w:ind w:left="0" w:righ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b w:val="0"/>
                <w:bCs w:val="0"/>
                <w:caps w:val="0"/>
                <w:smallCaps w:val="0"/>
                <w:color w:val="auto"/>
                <w:spacing w:val="0"/>
                <w:w w:val="100"/>
                <w:position w:val="0"/>
                <w:sz w:val="21"/>
                <w:highlight w:val="none"/>
                <w:lang w:eastAsia="zh-CN"/>
              </w:rPr>
              <w:t>《</w:t>
            </w:r>
            <w:r>
              <w:rPr>
                <w:rFonts w:hint="eastAsia" w:ascii="Times New Roman" w:hAnsi="Times New Roman" w:eastAsia="宋体" w:cs="Times New Roman"/>
                <w:b w:val="0"/>
                <w:bCs w:val="0"/>
                <w:caps w:val="0"/>
                <w:smallCaps w:val="0"/>
                <w:color w:val="auto"/>
                <w:spacing w:val="0"/>
                <w:w w:val="100"/>
                <w:position w:val="0"/>
                <w:sz w:val="21"/>
                <w:highlight w:val="none"/>
              </w:rPr>
              <w:t>土壤环境质量</w:t>
            </w:r>
            <w:r>
              <w:rPr>
                <w:rFonts w:hint="eastAsia" w:ascii="Times New Roman" w:hAnsi="Times New Roman" w:eastAsia="宋体" w:cs="Times New Roman"/>
                <w:b w:val="0"/>
                <w:bCs w:val="0"/>
                <w:caps w:val="0"/>
                <w:smallCaps w:val="0"/>
                <w:color w:val="auto"/>
                <w:spacing w:val="0"/>
                <w:w w:val="100"/>
                <w:position w:val="0"/>
                <w:sz w:val="21"/>
                <w:highlight w:val="none"/>
                <w:lang w:val="en-US" w:eastAsia="zh-CN"/>
              </w:rPr>
              <w:t xml:space="preserve">  </w:t>
            </w:r>
            <w:r>
              <w:rPr>
                <w:rFonts w:hint="eastAsia" w:ascii="Times New Roman" w:hAnsi="Times New Roman" w:eastAsia="宋体" w:cs="Times New Roman"/>
                <w:b w:val="0"/>
                <w:bCs w:val="0"/>
                <w:caps w:val="0"/>
                <w:smallCaps w:val="0"/>
                <w:color w:val="auto"/>
                <w:spacing w:val="0"/>
                <w:w w:val="100"/>
                <w:position w:val="0"/>
                <w:sz w:val="21"/>
                <w:highlight w:val="none"/>
              </w:rPr>
              <w:t>建设用地土壤污染风险管控标准</w:t>
            </w:r>
            <w:r>
              <w:rPr>
                <w:rFonts w:hint="eastAsia" w:ascii="Times New Roman" w:hAnsi="Times New Roman" w:eastAsia="宋体" w:cs="Times New Roman"/>
                <w:b w:val="0"/>
                <w:bCs w:val="0"/>
                <w:caps w:val="0"/>
                <w:smallCaps w:val="0"/>
                <w:color w:val="auto"/>
                <w:spacing w:val="0"/>
                <w:w w:val="100"/>
                <w:position w:val="0"/>
                <w:sz w:val="21"/>
                <w:highlight w:val="none"/>
                <w:lang w:eastAsia="zh-CN"/>
              </w:rPr>
              <w:t>（</w:t>
            </w:r>
            <w:r>
              <w:rPr>
                <w:rFonts w:hint="eastAsia" w:ascii="Times New Roman" w:hAnsi="Times New Roman" w:eastAsia="宋体" w:cs="Times New Roman"/>
                <w:b w:val="0"/>
                <w:bCs w:val="0"/>
                <w:caps w:val="0"/>
                <w:smallCaps w:val="0"/>
                <w:color w:val="auto"/>
                <w:spacing w:val="0"/>
                <w:w w:val="100"/>
                <w:position w:val="0"/>
                <w:sz w:val="21"/>
                <w:highlight w:val="none"/>
              </w:rPr>
              <w:t>试行）</w:t>
            </w:r>
            <w:r>
              <w:rPr>
                <w:rFonts w:hint="eastAsia" w:ascii="Times New Roman" w:hAnsi="Times New Roman" w:eastAsia="宋体" w:cs="Times New Roman"/>
                <w:b w:val="0"/>
                <w:bCs w:val="0"/>
                <w:caps w:val="0"/>
                <w:smallCaps w:val="0"/>
                <w:color w:val="auto"/>
                <w:spacing w:val="0"/>
                <w:w w:val="100"/>
                <w:position w:val="0"/>
                <w:sz w:val="21"/>
                <w:highlight w:val="none"/>
                <w:lang w:eastAsia="zh-CN"/>
              </w:rPr>
              <w:t>》（</w:t>
            </w:r>
            <w:r>
              <w:rPr>
                <w:rFonts w:ascii="Times New Roman" w:hAnsi="Times New Roman" w:eastAsia="宋体" w:cs="Times New Roman"/>
                <w:b w:val="0"/>
                <w:bCs w:val="0"/>
                <w:i w:val="0"/>
                <w:iCs w:val="0"/>
                <w:caps w:val="0"/>
                <w:smallCaps w:val="0"/>
                <w:color w:val="auto"/>
                <w:spacing w:val="0"/>
                <w:w w:val="100"/>
                <w:position w:val="0"/>
                <w:sz w:val="21"/>
                <w:szCs w:val="24"/>
                <w:highlight w:val="none"/>
                <w:shd w:val="clear" w:color="auto" w:fill="FFFFFF"/>
              </w:rPr>
              <w:t>GB36600-2018</w:t>
            </w:r>
            <w:r>
              <w:rPr>
                <w:rFonts w:hint="eastAsia" w:ascii="Times New Roman" w:hAnsi="Times New Roman" w:eastAsia="宋体" w:cs="Times New Roman"/>
                <w:b w:val="0"/>
                <w:bCs w:val="0"/>
                <w:caps w:val="0"/>
                <w:smallCaps w:val="0"/>
                <w:color w:val="auto"/>
                <w:spacing w:val="0"/>
                <w:w w:val="100"/>
                <w:position w:val="0"/>
                <w:sz w:val="21"/>
                <w:highlight w:val="none"/>
                <w:lang w:eastAsia="zh-CN"/>
              </w:rPr>
              <w:t>）</w:t>
            </w:r>
          </w:p>
        </w:tc>
      </w:tr>
    </w:tbl>
    <w:p>
      <w:pPr>
        <w:pStyle w:val="32"/>
        <w:autoSpaceDE w:val="0"/>
        <w:autoSpaceDN w:val="0"/>
        <w:spacing w:line="240" w:lineRule="auto"/>
        <w:jc w:val="center"/>
        <w:textAlignment w:val="bottom"/>
        <w:rPr>
          <w:rFonts w:hint="eastAsia" w:ascii="Times New Roman" w:hAnsi="Times New Roman" w:eastAsia="宋体" w:cs="Times New Roman"/>
          <w:caps w:val="0"/>
          <w:smallCaps w:val="0"/>
          <w:color w:val="auto"/>
          <w:spacing w:val="0"/>
          <w:w w:val="99"/>
          <w:position w:val="0"/>
          <w:highlight w:val="none"/>
          <w:lang w:eastAsia="zh-CN"/>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32"/>
        <w:autoSpaceDE w:val="0"/>
        <w:autoSpaceDN w:val="0"/>
        <w:spacing w:line="240" w:lineRule="auto"/>
        <w:jc w:val="center"/>
        <w:textAlignment w:val="bottom"/>
        <w:rPr>
          <w:rFonts w:hint="eastAsia" w:ascii="Times New Roman" w:hAnsi="Times New Roman" w:eastAsia="宋体" w:cs="Times New Roman"/>
          <w:caps w:val="0"/>
          <w:smallCaps w:val="0"/>
          <w:color w:val="auto"/>
          <w:spacing w:val="0"/>
          <w:w w:val="99"/>
          <w:position w:val="0"/>
          <w:highlight w:val="none"/>
          <w:lang w:eastAsia="zh-CN"/>
        </w:rPr>
      </w:pPr>
      <w:r>
        <w:rPr>
          <w:rFonts w:hint="eastAsia" w:ascii="Times New Roman" w:hAnsi="Times New Roman" w:eastAsia="宋体" w:cs="Times New Roman"/>
          <w:caps w:val="0"/>
          <w:smallCaps w:val="0"/>
          <w:color w:val="auto"/>
          <w:spacing w:val="0"/>
          <w:w w:val="99"/>
          <w:position w:val="0"/>
          <w:highlight w:val="none"/>
          <w:lang w:eastAsia="zh-CN"/>
        </w:rPr>
        <w:drawing>
          <wp:inline distT="0" distB="0" distL="114300" distR="114300">
            <wp:extent cx="7356475" cy="4555490"/>
            <wp:effectExtent l="0" t="0" r="15875" b="16510"/>
            <wp:docPr id="32" name="图片 8" descr="e41bd3dc76c38f3f82d4cbe22918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descr="e41bd3dc76c38f3f82d4cbe229183ba"/>
                    <pic:cNvPicPr>
                      <a:picLocks noChangeAspect="1"/>
                    </pic:cNvPicPr>
                  </pic:nvPicPr>
                  <pic:blipFill>
                    <a:blip r:embed="rId27"/>
                    <a:stretch>
                      <a:fillRect/>
                    </a:stretch>
                  </pic:blipFill>
                  <pic:spPr>
                    <a:xfrm>
                      <a:off x="0" y="0"/>
                      <a:ext cx="7356475" cy="4555490"/>
                    </a:xfrm>
                    <a:prstGeom prst="rect">
                      <a:avLst/>
                    </a:prstGeom>
                    <a:noFill/>
                    <a:ln>
                      <a:noFill/>
                    </a:ln>
                  </pic:spPr>
                </pic:pic>
              </a:graphicData>
            </a:graphic>
          </wp:inline>
        </w:drawing>
      </w:r>
      <w:bookmarkStart w:id="1290" w:name="_GoBack"/>
      <w:bookmarkEnd w:id="1290"/>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图2.</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-1  项目所在地与周围环境关系图</w:t>
      </w:r>
    </w:p>
    <w:p>
      <w:pPr>
        <w:pStyle w:val="32"/>
        <w:autoSpaceDE w:val="0"/>
        <w:autoSpaceDN w:val="0"/>
        <w:spacing w:line="240" w:lineRule="auto"/>
        <w:jc w:val="center"/>
        <w:textAlignment w:val="bottom"/>
        <w:rPr>
          <w:rFonts w:ascii="Times New Roman" w:hAnsi="Times New Roman" w:eastAsia="宋体" w:cs="Times New Roman"/>
          <w:b/>
          <w:caps w:val="0"/>
          <w:smallCaps w:val="0"/>
          <w:color w:val="auto"/>
          <w:spacing w:val="0"/>
          <w:w w:val="99"/>
          <w:position w:val="0"/>
          <w:highlight w:val="none"/>
        </w:rPr>
      </w:pPr>
    </w:p>
    <w:p>
      <w:pPr>
        <w:pStyle w:val="32"/>
        <w:autoSpaceDE w:val="0"/>
        <w:autoSpaceDN w:val="0"/>
        <w:spacing w:line="240" w:lineRule="auto"/>
        <w:jc w:val="both"/>
        <w:textAlignment w:val="bottom"/>
        <w:rPr>
          <w:rFonts w:hint="eastAsia" w:ascii="Times New Roman" w:hAnsi="Times New Roman" w:eastAsia="宋体" w:cs="Times New Roman"/>
          <w:caps w:val="0"/>
          <w:smallCaps w:val="0"/>
          <w:color w:val="auto"/>
          <w:spacing w:val="0"/>
          <w:w w:val="99"/>
          <w:position w:val="0"/>
          <w:highlight w:val="none"/>
          <w:lang w:val="en-US" w:eastAsia="zh-CN"/>
        </w:rPr>
        <w:sectPr>
          <w:pgSz w:w="16838" w:h="11911" w:orient="landscape"/>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tbl>
      <w:tblPr>
        <w:tblStyle w:val="24"/>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72"/>
        <w:gridCol w:w="42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73" w:hRule="atLeast"/>
        </w:trPr>
        <w:tc>
          <w:tcPr>
            <w:tcW w:w="457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2745740" cy="3195320"/>
                  <wp:effectExtent l="0" t="0" r="16510" b="5080"/>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28"/>
                          <a:stretch>
                            <a:fillRect/>
                          </a:stretch>
                        </pic:blipFill>
                        <pic:spPr>
                          <a:xfrm>
                            <a:off x="0" y="0"/>
                            <a:ext cx="2745740" cy="3195320"/>
                          </a:xfrm>
                          <a:prstGeom prst="rect">
                            <a:avLst/>
                          </a:prstGeom>
                        </pic:spPr>
                      </pic:pic>
                    </a:graphicData>
                  </a:graphic>
                </wp:inline>
              </w:drawing>
            </w:r>
          </w:p>
        </w:tc>
        <w:tc>
          <w:tcPr>
            <w:tcW w:w="426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2504440" cy="3263900"/>
                  <wp:effectExtent l="0" t="0" r="10160" b="12700"/>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29"/>
                          <a:stretch>
                            <a:fillRect/>
                          </a:stretch>
                        </pic:blipFill>
                        <pic:spPr>
                          <a:xfrm>
                            <a:off x="0" y="0"/>
                            <a:ext cx="2504440" cy="32639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1" w:hRule="atLeast"/>
        </w:trPr>
        <w:tc>
          <w:tcPr>
            <w:tcW w:w="457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北侧（德昌伟业化工有限公司）</w:t>
            </w:r>
          </w:p>
        </w:tc>
        <w:tc>
          <w:tcPr>
            <w:tcW w:w="426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东侧（大庆宏亚纸业）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96" w:hRule="atLeast"/>
        </w:trPr>
        <w:tc>
          <w:tcPr>
            <w:tcW w:w="457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2642235" cy="3531870"/>
                  <wp:effectExtent l="0" t="0" r="5715" b="11430"/>
                  <wp:docPr id="13" name="图片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
                          <pic:cNvPicPr>
                            <a:picLocks noChangeAspect="1"/>
                          </pic:cNvPicPr>
                        </pic:nvPicPr>
                        <pic:blipFill>
                          <a:blip r:embed="rId30"/>
                          <a:stretch>
                            <a:fillRect/>
                          </a:stretch>
                        </pic:blipFill>
                        <pic:spPr>
                          <a:xfrm>
                            <a:off x="0" y="0"/>
                            <a:ext cx="2642235" cy="3531870"/>
                          </a:xfrm>
                          <a:prstGeom prst="rect">
                            <a:avLst/>
                          </a:prstGeom>
                        </pic:spPr>
                      </pic:pic>
                    </a:graphicData>
                  </a:graphic>
                </wp:inline>
              </w:drawing>
            </w:r>
          </w:p>
        </w:tc>
        <w:tc>
          <w:tcPr>
            <w:tcW w:w="426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2571115" cy="3442970"/>
                  <wp:effectExtent l="0" t="0" r="635" b="5080"/>
                  <wp:docPr id="15" name="图片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
                          <pic:cNvPicPr>
                            <a:picLocks noChangeAspect="1"/>
                          </pic:cNvPicPr>
                        </pic:nvPicPr>
                        <pic:blipFill>
                          <a:blip r:embed="rId31"/>
                          <a:stretch>
                            <a:fillRect/>
                          </a:stretch>
                        </pic:blipFill>
                        <pic:spPr>
                          <a:xfrm>
                            <a:off x="0" y="0"/>
                            <a:ext cx="2571115" cy="34429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7" w:hRule="atLeast"/>
        </w:trPr>
        <w:tc>
          <w:tcPr>
            <w:tcW w:w="45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西侧（福庆纸业）</w:t>
            </w:r>
          </w:p>
        </w:tc>
        <w:tc>
          <w:tcPr>
            <w:tcW w:w="42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南侧（空地）</w:t>
            </w:r>
          </w:p>
        </w:tc>
      </w:tr>
    </w:tbl>
    <w:p>
      <w:pPr>
        <w:rPr>
          <w:color w:val="auto"/>
          <w:highlight w:val="none"/>
        </w:rPr>
      </w:pPr>
    </w:p>
    <w:p>
      <w:pPr>
        <w:rPr>
          <w:rFonts w:hint="default"/>
          <w:color w:val="auto"/>
          <w:highlight w:val="none"/>
          <w:lang w:val="en-US" w:eastAsia="zh-CN"/>
        </w:rPr>
      </w:pPr>
      <w:r>
        <w:rPr>
          <w:rFonts w:hint="default"/>
          <w:color w:val="auto"/>
          <w:highlight w:val="none"/>
          <w:lang w:val="en-US" w:eastAsia="zh-CN"/>
        </w:rPr>
        <w:br w:type="page"/>
      </w:r>
    </w:p>
    <w:p>
      <w:pPr>
        <w:pStyle w:val="5"/>
        <w:keepNext/>
        <w:keepLines/>
        <w:autoSpaceDE/>
        <w:autoSpaceDN/>
        <w:bidi w:val="0"/>
        <w:spacing w:before="0" w:after="0" w:line="500" w:lineRule="exact"/>
        <w:ind w:left="0" w:right="0" w:firstLine="0" w:firstLineChars="0"/>
        <w:jc w:val="both"/>
        <w:rPr>
          <w:rFonts w:hint="eastAsia" w:ascii="Times New Roman" w:hAnsi="Times New Roman" w:eastAsia="宋体" w:cs="Times New Roman"/>
          <w:color w:val="auto"/>
          <w:kern w:val="44"/>
          <w:highlight w:val="none"/>
          <w:lang w:val="en-US" w:eastAsia="zh-CN" w:bidi="ar-SA"/>
        </w:rPr>
      </w:pPr>
      <w:bookmarkStart w:id="157" w:name="_Toc4117"/>
      <w:r>
        <w:rPr>
          <w:rFonts w:hint="eastAsia" w:ascii="Times New Roman" w:hAnsi="Times New Roman" w:eastAsia="宋体" w:cs="Times New Roman"/>
          <w:color w:val="auto"/>
          <w:kern w:val="44"/>
          <w:highlight w:val="none"/>
          <w:lang w:val="en-US" w:eastAsia="zh-CN" w:bidi="ar-SA"/>
        </w:rPr>
        <w:t>3建设项目工程分析</w:t>
      </w:r>
      <w:bookmarkEnd w:id="157"/>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158" w:name="_bookmark39"/>
      <w:bookmarkEnd w:id="158"/>
      <w:bookmarkStart w:id="159" w:name="_bookmark39"/>
      <w:bookmarkEnd w:id="159"/>
      <w:bookmarkStart w:id="160" w:name="_Toc15769"/>
      <w:r>
        <w:rPr>
          <w:rFonts w:hint="eastAsia" w:ascii="Times New Roman" w:hAnsi="Times New Roman" w:eastAsia="宋体" w:cs="Times New Roman"/>
          <w:bCs w:val="0"/>
          <w:color w:val="auto"/>
          <w:kern w:val="2"/>
          <w:szCs w:val="20"/>
          <w:highlight w:val="none"/>
          <w:lang w:val="en-US" w:eastAsia="zh-CN" w:bidi="ar-SA"/>
        </w:rPr>
        <w:t>3.1</w:t>
      </w:r>
      <w:r>
        <w:rPr>
          <w:rFonts w:hint="eastAsia" w:ascii="Times New Roman" w:hAnsi="Times New Roman" w:eastAsia="宋体" w:cs="Times New Roman"/>
          <w:bCs w:val="0"/>
          <w:color w:val="auto"/>
          <w:kern w:val="2"/>
          <w:szCs w:val="20"/>
          <w:highlight w:val="none"/>
          <w:lang w:val="en-US" w:bidi="ar-SA"/>
        </w:rPr>
        <w:t>原有项目基本情况</w:t>
      </w:r>
      <w:bookmarkEnd w:id="160"/>
    </w:p>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eastAsia" w:ascii="Times New Roman" w:hAnsi="Times New Roman" w:eastAsia="宋体" w:cs="Times New Roman"/>
          <w:color w:val="auto"/>
          <w:highlight w:val="none"/>
          <w:lang w:val="en-US" w:eastAsia="zh-CN"/>
        </w:rPr>
      </w:pPr>
      <w:bookmarkStart w:id="161" w:name="_bookmark40"/>
      <w:bookmarkEnd w:id="161"/>
      <w:bookmarkStart w:id="162" w:name="_bookmark40"/>
      <w:bookmarkEnd w:id="162"/>
      <w:r>
        <w:rPr>
          <w:rFonts w:hint="eastAsia" w:ascii="Times New Roman" w:hAnsi="Times New Roman" w:eastAsia="宋体" w:cs="Times New Roman"/>
          <w:color w:val="auto"/>
          <w:highlight w:val="none"/>
          <w:lang w:val="en-US" w:eastAsia="zh-CN"/>
        </w:rPr>
        <w:t>大庆市李氏纸业制造有限责任公司成立于2005年，建设地点位于</w:t>
      </w:r>
      <w:r>
        <w:rPr>
          <w:rFonts w:hint="eastAsia" w:ascii="Times New Roman" w:cs="Times New Roman"/>
          <w:color w:val="auto"/>
          <w:highlight w:val="none"/>
          <w:lang w:val="en-US" w:eastAsia="zh-CN"/>
        </w:rPr>
        <w:t>黑龙江大同经济开发区纸业园区</w:t>
      </w:r>
      <w:r>
        <w:rPr>
          <w:rFonts w:hint="eastAsia" w:ascii="Times New Roman" w:hAnsi="Times New Roman" w:eastAsia="宋体" w:cs="Times New Roman"/>
          <w:color w:val="auto"/>
          <w:highlight w:val="none"/>
          <w:lang w:val="en-US" w:eastAsia="zh-CN"/>
        </w:rPr>
        <w:t>。原有项目以漂白针叶木浆及白纸边为原料，生产中高档生活用纸，项目总投资490万元，建设4台1575型纸机及配套的浆水循环系统等，年产生活用纸10000t/a。</w:t>
      </w:r>
      <w:r>
        <w:rPr>
          <w:rFonts w:hint="eastAsia"/>
          <w:color w:val="auto"/>
          <w:lang w:val="en-US" w:eastAsia="zh-CN"/>
        </w:rPr>
        <w:t>大庆市李氏纸业制造有限责任公司《10000吨/年生活用纸建设项目环境影响报告书》于2007年10月9日取得大庆市大同区环境保护局环评批复（同环建字[2007]3号），2008年10月，委托大庆市环境监测中心站进行竣工环保验收监测，编制了《大庆市李氏纸业制造有限责任公司10000t/a生活用纸建设项目竣工环境保护验收监测报告》，并通过大同区环境保护局验收。</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63" w:name="_Toc11091"/>
      <w:r>
        <w:rPr>
          <w:rFonts w:hint="eastAsia" w:ascii="Times New Roman" w:hAnsi="Times New Roman" w:eastAsia="宋体" w:cs="Times New Roman"/>
          <w:bCs w:val="0"/>
          <w:color w:val="auto"/>
          <w:szCs w:val="20"/>
          <w:highlight w:val="none"/>
          <w:lang w:val="en-US" w:eastAsia="zh-CN" w:bidi="ar-SA"/>
        </w:rPr>
        <w:t>3.1.1</w:t>
      </w:r>
      <w:r>
        <w:rPr>
          <w:rFonts w:hint="eastAsia" w:ascii="Times New Roman" w:hAnsi="Times New Roman" w:cs="Times New Roman"/>
          <w:bCs w:val="0"/>
          <w:color w:val="auto"/>
          <w:szCs w:val="20"/>
          <w:highlight w:val="none"/>
          <w:lang w:val="en-US" w:eastAsia="zh-CN" w:bidi="ar-SA"/>
        </w:rPr>
        <w:t>原</w:t>
      </w:r>
      <w:r>
        <w:rPr>
          <w:rFonts w:ascii="Times New Roman" w:hAnsi="Times New Roman" w:eastAsia="宋体" w:cs="Times New Roman"/>
          <w:bCs w:val="0"/>
          <w:color w:val="auto"/>
          <w:szCs w:val="20"/>
          <w:highlight w:val="none"/>
          <w:lang w:val="en-US" w:bidi="ar-SA"/>
        </w:rPr>
        <w:t>有项目基本概况</w:t>
      </w:r>
      <w:bookmarkEnd w:id="163"/>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建设单位：大庆市李氏纸业制造有限责任公司；</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建设地点：</w:t>
      </w:r>
      <w:r>
        <w:rPr>
          <w:rFonts w:hint="eastAsia" w:cs="Times New Roman"/>
          <w:color w:val="auto"/>
          <w:sz w:val="24"/>
          <w:highlight w:val="none"/>
          <w:lang w:val="en-US" w:eastAsia="zh-CN"/>
        </w:rPr>
        <w:t>黑龙江大同经济开发区纸业园区</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占地面积：</w:t>
      </w:r>
      <w:r>
        <w:rPr>
          <w:rFonts w:hint="eastAsia" w:ascii="Times New Roman" w:cs="Times New Roman"/>
          <w:color w:val="auto"/>
          <w:sz w:val="24"/>
          <w:highlight w:val="none"/>
          <w:lang w:val="en-US" w:eastAsia="zh-CN"/>
        </w:rPr>
        <w:t>28343.9</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建设规模：年产生活用纸10000吨；</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劳动定员：80人；</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工作制度：330天/年，24小时/天</w:t>
      </w:r>
      <w:r>
        <w:rPr>
          <w:rFonts w:hint="eastAsia" w:cs="Times New Roman"/>
          <w:color w:val="auto"/>
          <w:sz w:val="24"/>
          <w:highlight w:val="none"/>
          <w:lang w:val="en-US" w:eastAsia="zh-CN"/>
        </w:rPr>
        <w:t>，三班工作制</w:t>
      </w:r>
      <w:r>
        <w:rPr>
          <w:rFonts w:hint="eastAsia" w:ascii="Times New Roman" w:hAnsi="Times New Roman" w:eastAsia="宋体" w:cs="Times New Roman"/>
          <w:color w:val="auto"/>
          <w:sz w:val="24"/>
          <w:highlight w:val="none"/>
          <w:lang w:val="en-US" w:eastAsia="zh-CN"/>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64" w:name="_bookmark41"/>
      <w:bookmarkEnd w:id="164"/>
      <w:bookmarkStart w:id="165" w:name="_bookmark41"/>
      <w:bookmarkEnd w:id="165"/>
      <w:bookmarkStart w:id="166" w:name="_Toc12029"/>
      <w:r>
        <w:rPr>
          <w:rFonts w:hint="eastAsia" w:ascii="Times New Roman" w:hAnsi="Times New Roman" w:eastAsia="宋体" w:cs="Times New Roman"/>
          <w:bCs w:val="0"/>
          <w:color w:val="auto"/>
          <w:szCs w:val="20"/>
          <w:highlight w:val="none"/>
          <w:lang w:val="en-US" w:eastAsia="zh-CN" w:bidi="ar-SA"/>
        </w:rPr>
        <w:t>3.1.2</w:t>
      </w:r>
      <w:r>
        <w:rPr>
          <w:rFonts w:hint="eastAsia" w:ascii="Times New Roman" w:hAnsi="Times New Roman" w:cs="Times New Roman"/>
          <w:bCs w:val="0"/>
          <w:color w:val="auto"/>
          <w:szCs w:val="20"/>
          <w:highlight w:val="none"/>
          <w:lang w:val="en-US" w:eastAsia="zh-CN" w:bidi="ar-SA"/>
        </w:rPr>
        <w:t>原有</w:t>
      </w:r>
      <w:r>
        <w:rPr>
          <w:rFonts w:ascii="Times New Roman" w:hAnsi="Times New Roman" w:eastAsia="宋体" w:cs="Times New Roman"/>
          <w:bCs w:val="0"/>
          <w:color w:val="auto"/>
          <w:szCs w:val="20"/>
          <w:highlight w:val="none"/>
          <w:lang w:val="en-US" w:bidi="ar-SA"/>
        </w:rPr>
        <w:t>项目组成</w:t>
      </w:r>
      <w:bookmarkEnd w:id="166"/>
    </w:p>
    <w:p>
      <w:pPr>
        <w:tabs>
          <w:tab w:val="left" w:pos="7477"/>
        </w:tabs>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原</w:t>
      </w:r>
      <w:r>
        <w:rPr>
          <w:rFonts w:hint="eastAsia" w:ascii="Times New Roman" w:hAnsi="Times New Roman" w:eastAsia="宋体" w:cs="Times New Roman"/>
          <w:color w:val="auto"/>
          <w:sz w:val="24"/>
          <w:highlight w:val="none"/>
          <w:lang w:val="en-US" w:eastAsia="zh-CN"/>
        </w:rPr>
        <w:t>有项目由主要生产装置、辅助生产装置及公用工程设施组成。根据现场踏勘情况并</w:t>
      </w:r>
      <w:r>
        <w:rPr>
          <w:rFonts w:hint="eastAsia" w:cs="Times New Roman"/>
          <w:color w:val="auto"/>
          <w:sz w:val="24"/>
          <w:highlight w:val="none"/>
          <w:lang w:val="en-US" w:eastAsia="zh-CN"/>
        </w:rPr>
        <w:t>查阅项目</w:t>
      </w:r>
      <w:r>
        <w:rPr>
          <w:rFonts w:hint="eastAsia" w:ascii="Times New Roman" w:hAnsi="Times New Roman" w:eastAsia="宋体" w:cs="Times New Roman"/>
          <w:color w:val="auto"/>
          <w:sz w:val="24"/>
          <w:highlight w:val="none"/>
          <w:lang w:val="en-US" w:eastAsia="zh-CN"/>
        </w:rPr>
        <w:t>环评和验收</w:t>
      </w:r>
      <w:r>
        <w:rPr>
          <w:rFonts w:hint="eastAsia" w:cs="Times New Roman"/>
          <w:color w:val="auto"/>
          <w:sz w:val="24"/>
          <w:highlight w:val="none"/>
          <w:lang w:val="en-US" w:eastAsia="zh-CN"/>
        </w:rPr>
        <w:t>资料</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原</w:t>
      </w:r>
      <w:r>
        <w:rPr>
          <w:rFonts w:hint="eastAsia" w:ascii="Times New Roman" w:hAnsi="Times New Roman" w:eastAsia="宋体" w:cs="Times New Roman"/>
          <w:color w:val="auto"/>
          <w:sz w:val="24"/>
          <w:highlight w:val="none"/>
          <w:lang w:val="en-US" w:eastAsia="zh-CN"/>
        </w:rPr>
        <w:t>有项目组成情况见下表3.1.2-1。</w:t>
      </w:r>
    </w:p>
    <w:p>
      <w:pPr>
        <w:tabs>
          <w:tab w:val="left" w:pos="7402"/>
        </w:tabs>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表3.1</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 xml:space="preserve">-1               </w:t>
      </w:r>
      <w:r>
        <w:rPr>
          <w:rFonts w:hint="eastAsia" w:cs="Times New Roman"/>
          <w:color w:val="auto"/>
          <w:sz w:val="24"/>
          <w:highlight w:val="none"/>
          <w:lang w:val="en-US" w:eastAsia="zh-CN"/>
        </w:rPr>
        <w:t>原</w:t>
      </w:r>
      <w:r>
        <w:rPr>
          <w:rFonts w:hint="eastAsia" w:ascii="Times New Roman" w:hAnsi="Times New Roman" w:eastAsia="宋体" w:cs="Times New Roman"/>
          <w:color w:val="auto"/>
          <w:sz w:val="24"/>
          <w:highlight w:val="none"/>
          <w:lang w:val="en-US" w:eastAsia="zh-CN"/>
        </w:rPr>
        <w:t>有项目组成情况一览表</w:t>
      </w:r>
    </w:p>
    <w:tbl>
      <w:tblPr>
        <w:tblStyle w:val="28"/>
        <w:tblW w:w="873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75"/>
        <w:gridCol w:w="1552"/>
        <w:gridCol w:w="3885"/>
        <w:gridCol w:w="272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8"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序号</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项目名称</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生活用纸项目</w:t>
            </w:r>
            <w:r>
              <w:rPr>
                <w:rFonts w:ascii="Times New Roman" w:hAnsi="Times New Roman" w:eastAsia="宋体" w:cs="Times New Roman"/>
                <w:color w:val="auto"/>
                <w:spacing w:val="0"/>
                <w:w w:val="100"/>
                <w:position w:val="0"/>
                <w:sz w:val="21"/>
                <w:szCs w:val="21"/>
                <w:highlight w:val="none"/>
              </w:rPr>
              <w:t>环评内容</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eastAsia="zh-CN"/>
              </w:rPr>
            </w:pPr>
            <w:r>
              <w:rPr>
                <w:rFonts w:hint="eastAsia" w:cs="Times New Roman"/>
                <w:color w:val="auto"/>
                <w:spacing w:val="0"/>
                <w:w w:val="100"/>
                <w:position w:val="0"/>
                <w:sz w:val="21"/>
                <w:szCs w:val="21"/>
                <w:highlight w:val="none"/>
                <w:lang w:eastAsia="zh-CN"/>
              </w:rPr>
              <w:t>全厂现状</w:t>
            </w:r>
            <w:r>
              <w:rPr>
                <w:rFonts w:ascii="Times New Roman" w:hAnsi="Times New Roman" w:eastAsia="宋体" w:cs="Times New Roman"/>
                <w:color w:val="auto"/>
                <w:spacing w:val="0"/>
                <w:w w:val="100"/>
                <w:position w:val="0"/>
                <w:sz w:val="21"/>
                <w:szCs w:val="21"/>
                <w:highlight w:val="none"/>
              </w:rPr>
              <w:t>情况</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10"/>
                <w:highlight w:val="none"/>
              </w:rPr>
            </w:pPr>
            <w:r>
              <w:rPr>
                <w:rFonts w:ascii="Times New Roman" w:hAnsi="Times New Roman" w:eastAsia="宋体" w:cs="Times New Roman"/>
                <w:color w:val="auto"/>
                <w:spacing w:val="0"/>
                <w:w w:val="100"/>
                <w:position w:val="0"/>
                <w:sz w:val="21"/>
                <w:szCs w:val="10"/>
                <w:highlight w:val="none"/>
              </w:rPr>
              <w:t>一</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主体工程</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highlight w:val="none"/>
              </w:rPr>
            </w:pP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color w:val="auto"/>
                <w:spacing w:val="0"/>
                <w:w w:val="100"/>
                <w:position w:val="0"/>
                <w:sz w:val="21"/>
                <w:highlight w:val="none"/>
                <w:lang w:eastAsia="zh-CN"/>
              </w:rPr>
            </w:pPr>
            <w:r>
              <w:rPr>
                <w:rFonts w:hint="eastAsia" w:cs="Times New Roman"/>
                <w:b/>
                <w:bCs/>
                <w:color w:val="auto"/>
                <w:spacing w:val="0"/>
                <w:w w:val="100"/>
                <w:position w:val="0"/>
                <w:sz w:val="21"/>
                <w:highlight w:val="none"/>
                <w:lang w:eastAsia="zh-CN"/>
              </w:rPr>
              <w:t>现全厂已停产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507"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占地面积2500</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default" w:ascii="Times New Roman" w:hAnsi="Times New Roman" w:eastAsia="宋体" w:cs="Times New Roman"/>
                <w:color w:val="auto"/>
                <w:spacing w:val="0"/>
                <w:w w:val="100"/>
                <w:position w:val="0"/>
                <w:sz w:val="21"/>
                <w:szCs w:val="21"/>
                <w:highlight w:val="none"/>
                <w:vertAlign w:val="superscript"/>
              </w:rPr>
              <w:t>2</w:t>
            </w:r>
            <w:r>
              <w:rPr>
                <w:rFonts w:hint="eastAsia" w:ascii="Times New Roman" w:hAnsi="Times New Roman" w:eastAsia="宋体" w:cs="Times New Roman"/>
                <w:color w:val="auto"/>
                <w:spacing w:val="0"/>
                <w:w w:val="100"/>
                <w:position w:val="0"/>
                <w:sz w:val="21"/>
                <w:szCs w:val="21"/>
                <w:highlight w:val="none"/>
              </w:rPr>
              <w:t>，</w:t>
            </w:r>
            <w:r>
              <w:rPr>
                <w:rFonts w:hint="eastAsia" w:ascii="Times New Roman" w:hAnsi="Times New Roman" w:eastAsia="宋体" w:cs="Times New Roman"/>
                <w:color w:val="auto"/>
                <w:spacing w:val="0"/>
                <w:w w:val="100"/>
                <w:position w:val="0"/>
                <w:sz w:val="21"/>
                <w:szCs w:val="21"/>
                <w:highlight w:val="none"/>
                <w:lang w:eastAsia="zh-CN"/>
              </w:rPr>
              <w:t>建筑面积</w:t>
            </w:r>
            <w:r>
              <w:rPr>
                <w:rFonts w:hint="eastAsia" w:cs="Times New Roman"/>
                <w:color w:val="auto"/>
                <w:spacing w:val="0"/>
                <w:w w:val="100"/>
                <w:position w:val="0"/>
                <w:sz w:val="21"/>
                <w:szCs w:val="21"/>
                <w:highlight w:val="none"/>
                <w:lang w:val="en-US" w:eastAsia="zh-CN"/>
              </w:rPr>
              <w:t>2500</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eastAsia" w:cs="Times New Roman"/>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olor w:val="auto"/>
                <w:spacing w:val="0"/>
                <w:w w:val="100"/>
                <w:position w:val="0"/>
                <w:sz w:val="21"/>
                <w:szCs w:val="21"/>
                <w:highlight w:val="none"/>
                <w:lang w:val="en-US" w:eastAsia="zh-CN"/>
              </w:rPr>
              <w:t>，</w:t>
            </w:r>
            <w:r>
              <w:rPr>
                <w:rFonts w:hint="eastAsia" w:ascii="Times New Roman" w:hAnsi="Times New Roman" w:eastAsia="宋体" w:cs="Times New Roman"/>
                <w:color w:val="auto"/>
                <w:spacing w:val="0"/>
                <w:w w:val="100"/>
                <w:position w:val="0"/>
                <w:sz w:val="21"/>
                <w:szCs w:val="21"/>
                <w:highlight w:val="none"/>
              </w:rPr>
              <w:t>内设碎浆机、除砂机、纤维分离机、压力筛、磨浆机、1575型纸机、切纸机、复卷机等生产设备，车间内设料浆池4座，混凝土结构，单座尺寸4m×4m×4m，总容积256m</w:t>
            </w:r>
            <w:r>
              <w:rPr>
                <w:rFonts w:hint="eastAsia" w:ascii="Times New Roman" w:hAnsi="Times New Roman" w:eastAsia="宋体" w:cs="Times New Roman"/>
                <w:color w:val="auto"/>
                <w:spacing w:val="0"/>
                <w:w w:val="100"/>
                <w:position w:val="0"/>
                <w:sz w:val="21"/>
                <w:szCs w:val="21"/>
                <w:highlight w:val="none"/>
                <w:vertAlign w:val="superscript"/>
              </w:rPr>
              <w:t>3</w:t>
            </w:r>
            <w:r>
              <w:rPr>
                <w:rFonts w:hint="eastAsia" w:ascii="Times New Roman" w:hAnsi="Times New Roman" w:eastAsia="宋体" w:cs="Times New Roman"/>
                <w:color w:val="auto"/>
                <w:spacing w:val="0"/>
                <w:w w:val="100"/>
                <w:position w:val="0"/>
                <w:sz w:val="21"/>
                <w:szCs w:val="21"/>
                <w:highlight w:val="none"/>
              </w:rPr>
              <w:t>；设调浆池1座，混凝土结构，单座尺寸4m×4m×3.5m，总容积56m</w:t>
            </w:r>
            <w:r>
              <w:rPr>
                <w:rFonts w:hint="eastAsia" w:ascii="Times New Roman" w:hAnsi="Times New Roman" w:eastAsia="宋体" w:cs="Times New Roman"/>
                <w:color w:val="auto"/>
                <w:spacing w:val="0"/>
                <w:w w:val="100"/>
                <w:position w:val="0"/>
                <w:sz w:val="21"/>
                <w:szCs w:val="21"/>
                <w:highlight w:val="none"/>
                <w:vertAlign w:val="superscript"/>
              </w:rPr>
              <w:t>3</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4台</w:t>
            </w:r>
            <w:r>
              <w:rPr>
                <w:rFonts w:hint="eastAsia" w:ascii="Times New Roman" w:hAnsi="Times New Roman" w:eastAsia="宋体" w:cs="Times New Roman"/>
                <w:color w:val="auto"/>
                <w:spacing w:val="0"/>
                <w:w w:val="100"/>
                <w:position w:val="0"/>
                <w:sz w:val="21"/>
                <w:szCs w:val="21"/>
                <w:highlight w:val="none"/>
              </w:rPr>
              <w:t>1575型纸机</w:t>
            </w:r>
            <w:r>
              <w:rPr>
                <w:rFonts w:hint="eastAsia" w:ascii="Times New Roman" w:hAnsi="Times New Roman" w:eastAsia="宋体" w:cs="Times New Roman"/>
                <w:color w:val="auto"/>
                <w:spacing w:val="0"/>
                <w:w w:val="100"/>
                <w:position w:val="0"/>
                <w:sz w:val="21"/>
                <w:szCs w:val="21"/>
                <w:highlight w:val="none"/>
                <w:lang w:val="en-US" w:eastAsia="zh-CN"/>
              </w:rPr>
              <w:t>变更为</w:t>
            </w:r>
            <w:r>
              <w:rPr>
                <w:rFonts w:hint="eastAsia" w:cs="Times New Roman"/>
                <w:color w:val="auto"/>
                <w:spacing w:val="0"/>
                <w:w w:val="100"/>
                <w:position w:val="0"/>
                <w:sz w:val="21"/>
                <w:szCs w:val="21"/>
                <w:highlight w:val="none"/>
                <w:lang w:val="en-US" w:eastAsia="zh-CN"/>
              </w:rPr>
              <w:t>2台</w:t>
            </w:r>
            <w:r>
              <w:rPr>
                <w:rFonts w:hint="eastAsia" w:ascii="Times New Roman" w:hAnsi="Times New Roman" w:eastAsia="宋体" w:cs="Times New Roman"/>
                <w:color w:val="auto"/>
                <w:spacing w:val="0"/>
                <w:w w:val="100"/>
                <w:position w:val="0"/>
                <w:sz w:val="21"/>
                <w:szCs w:val="21"/>
                <w:highlight w:val="none"/>
                <w:lang w:val="en-US" w:eastAsia="zh-CN"/>
              </w:rPr>
              <w:t>3500型纸机，</w:t>
            </w:r>
            <w:r>
              <w:rPr>
                <w:rFonts w:hint="eastAsia" w:cs="Times New Roman"/>
                <w:color w:val="auto"/>
                <w:spacing w:val="0"/>
                <w:w w:val="100"/>
                <w:position w:val="0"/>
                <w:sz w:val="21"/>
                <w:szCs w:val="21"/>
                <w:highlight w:val="none"/>
                <w:lang w:val="en-US" w:eastAsia="zh-CN"/>
              </w:rPr>
              <w:t>其他配套设施</w:t>
            </w:r>
            <w:r>
              <w:rPr>
                <w:rFonts w:hint="eastAsia" w:ascii="Times New Roman" w:hAnsi="Times New Roman" w:eastAsia="宋体" w:cs="Times New Roman"/>
                <w:color w:val="auto"/>
                <w:spacing w:val="0"/>
                <w:w w:val="100"/>
                <w:position w:val="0"/>
                <w:sz w:val="21"/>
                <w:szCs w:val="21"/>
                <w:highlight w:val="none"/>
                <w:lang w:val="en-US" w:eastAsia="zh-CN"/>
              </w:rPr>
              <w:t>未变</w:t>
            </w:r>
            <w:r>
              <w:rPr>
                <w:rFonts w:hint="eastAsia" w:cs="Times New Roman"/>
                <w:color w:val="auto"/>
                <w:spacing w:val="0"/>
                <w:w w:val="100"/>
                <w:position w:val="0"/>
                <w:sz w:val="21"/>
                <w:szCs w:val="21"/>
                <w:highlight w:val="none"/>
                <w:lang w:val="en-US" w:eastAsia="zh-CN"/>
              </w:rPr>
              <w:t>，依托原有。</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二</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公用工程</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highlight w:val="none"/>
              </w:rPr>
            </w:pP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435"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锅炉房</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1座，占地面积380m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olor w:val="auto"/>
                <w:spacing w:val="0"/>
                <w:w w:val="100"/>
                <w:position w:val="0"/>
                <w:sz w:val="21"/>
                <w:szCs w:val="21"/>
                <w:highlight w:val="none"/>
                <w:lang w:val="en-US" w:eastAsia="zh-CN"/>
              </w:rPr>
              <w:t>，建筑面积</w:t>
            </w:r>
            <w:r>
              <w:rPr>
                <w:rFonts w:hint="eastAsia" w:cs="Times New Roman"/>
                <w:color w:val="auto"/>
                <w:spacing w:val="0"/>
                <w:w w:val="100"/>
                <w:position w:val="0"/>
                <w:sz w:val="21"/>
                <w:szCs w:val="21"/>
                <w:highlight w:val="none"/>
                <w:lang w:val="en-US" w:eastAsia="zh-CN"/>
              </w:rPr>
              <w:t>380</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eastAsia" w:cs="Times New Roman"/>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olor w:val="auto"/>
                <w:spacing w:val="0"/>
                <w:w w:val="100"/>
                <w:position w:val="0"/>
                <w:sz w:val="21"/>
                <w:szCs w:val="21"/>
                <w:highlight w:val="none"/>
                <w:lang w:val="en-US" w:eastAsia="zh-CN"/>
              </w:rPr>
              <w:t>，内设</w:t>
            </w:r>
            <w:r>
              <w:rPr>
                <w:rFonts w:ascii="Times New Roman" w:hAnsi="Times New Roman" w:eastAsia="宋体" w:cs="Times New Roman"/>
                <w:color w:val="auto"/>
                <w:spacing w:val="0"/>
                <w:w w:val="100"/>
                <w:position w:val="0"/>
                <w:sz w:val="21"/>
                <w:szCs w:val="21"/>
                <w:highlight w:val="none"/>
              </w:rPr>
              <w:t>1台</w:t>
            </w:r>
            <w:r>
              <w:rPr>
                <w:rFonts w:hint="eastAsia" w:ascii="Times New Roman" w:hAnsi="Times New Roman" w:eastAsia="宋体" w:cs="Times New Roman"/>
                <w:color w:val="auto"/>
                <w:spacing w:val="0"/>
                <w:w w:val="100"/>
                <w:position w:val="0"/>
                <w:sz w:val="21"/>
                <w:szCs w:val="21"/>
                <w:highlight w:val="none"/>
                <w:lang w:val="en-US" w:eastAsia="zh-CN"/>
              </w:rPr>
              <w:t>6</w:t>
            </w:r>
            <w:r>
              <w:rPr>
                <w:rFonts w:ascii="Times New Roman" w:hAnsi="Times New Roman" w:eastAsia="宋体" w:cs="Times New Roman"/>
                <w:color w:val="auto"/>
                <w:spacing w:val="0"/>
                <w:w w:val="100"/>
                <w:position w:val="0"/>
                <w:sz w:val="21"/>
                <w:szCs w:val="21"/>
                <w:highlight w:val="none"/>
              </w:rPr>
              <w:t>t/h</w:t>
            </w:r>
            <w:r>
              <w:rPr>
                <w:rFonts w:hint="eastAsia" w:ascii="Times New Roman" w:hAnsi="Times New Roman" w:eastAsia="宋体" w:cs="Times New Roman"/>
                <w:color w:val="auto"/>
                <w:spacing w:val="0"/>
                <w:w w:val="100"/>
                <w:position w:val="0"/>
                <w:sz w:val="21"/>
                <w:szCs w:val="21"/>
                <w:highlight w:val="none"/>
                <w:lang w:val="en-US" w:eastAsia="zh-CN"/>
              </w:rPr>
              <w:t>燃煤</w:t>
            </w:r>
            <w:r>
              <w:rPr>
                <w:rFonts w:ascii="Times New Roman" w:hAnsi="Times New Roman" w:eastAsia="宋体" w:cs="Times New Roman"/>
                <w:color w:val="auto"/>
                <w:spacing w:val="0"/>
                <w:w w:val="100"/>
                <w:position w:val="0"/>
                <w:sz w:val="21"/>
                <w:szCs w:val="21"/>
                <w:highlight w:val="none"/>
              </w:rPr>
              <w:t>蒸汽锅炉</w:t>
            </w:r>
            <w:r>
              <w:rPr>
                <w:rFonts w:hint="eastAsia" w:cs="Times New Roman"/>
                <w:color w:val="auto"/>
                <w:spacing w:val="0"/>
                <w:w w:val="100"/>
                <w:position w:val="0"/>
                <w:sz w:val="21"/>
                <w:szCs w:val="21"/>
                <w:highlight w:val="none"/>
                <w:lang w:eastAsia="zh-CN"/>
              </w:rPr>
              <w:t>，建设水膜除尘设施，锅炉烟囱</w:t>
            </w:r>
            <w:r>
              <w:rPr>
                <w:rFonts w:hint="eastAsia" w:cs="Times New Roman"/>
                <w:color w:val="auto"/>
                <w:spacing w:val="0"/>
                <w:w w:val="100"/>
                <w:position w:val="0"/>
                <w:sz w:val="21"/>
                <w:szCs w:val="21"/>
                <w:highlight w:val="none"/>
                <w:lang w:val="en-US" w:eastAsia="zh-CN"/>
              </w:rPr>
              <w:t>35米。</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eastAsia="zh-CN"/>
              </w:rPr>
              <w:t>燃煤锅炉</w:t>
            </w:r>
            <w:r>
              <w:rPr>
                <w:rFonts w:hint="eastAsia" w:ascii="Times New Roman" w:hAnsi="Times New Roman" w:eastAsia="宋体" w:cs="Times New Roman"/>
                <w:color w:val="auto"/>
                <w:spacing w:val="0"/>
                <w:w w:val="100"/>
                <w:position w:val="0"/>
                <w:sz w:val="21"/>
                <w:szCs w:val="21"/>
                <w:highlight w:val="none"/>
                <w:lang w:eastAsia="zh-CN"/>
              </w:rPr>
              <w:t>已更换为</w:t>
            </w:r>
            <w:r>
              <w:rPr>
                <w:rFonts w:hint="eastAsia" w:ascii="Times New Roman" w:hAnsi="Times New Roman" w:eastAsia="宋体" w:cs="Times New Roman"/>
                <w:color w:val="auto"/>
                <w:spacing w:val="0"/>
                <w:w w:val="100"/>
                <w:position w:val="0"/>
                <w:sz w:val="21"/>
                <w:szCs w:val="21"/>
                <w:highlight w:val="none"/>
                <w:lang w:val="en-US" w:eastAsia="zh-CN"/>
              </w:rPr>
              <w:t>1台6t/h生物质蒸汽锅炉</w:t>
            </w:r>
            <w:r>
              <w:rPr>
                <w:rFonts w:hint="eastAsia" w:cs="Times New Roman"/>
                <w:color w:val="auto"/>
                <w:spacing w:val="0"/>
                <w:w w:val="100"/>
                <w:position w:val="0"/>
                <w:sz w:val="21"/>
                <w:szCs w:val="21"/>
                <w:highlight w:val="none"/>
                <w:lang w:val="en-US" w:eastAsia="zh-CN"/>
              </w:rPr>
              <w:t>，除尘器更换为袋式除尘器，其他配套设施不变。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三</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储运工程</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highlight w:val="none"/>
              </w:rPr>
            </w:pP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color w:val="auto"/>
                <w:spacing w:val="0"/>
                <w:w w:val="100"/>
                <w:position w:val="0"/>
                <w:sz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20"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成品贮存</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snapToGrid w:val="0"/>
                <w:color w:val="auto"/>
                <w:spacing w:val="0"/>
                <w:w w:val="100"/>
                <w:kern w:val="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成品库</w:t>
            </w:r>
            <w:r>
              <w:rPr>
                <w:rFonts w:hint="eastAsia" w:ascii="Times New Roman" w:hAnsi="Times New Roman" w:eastAsia="宋体" w:cs="Times New Roman"/>
                <w:color w:val="auto"/>
                <w:spacing w:val="0"/>
                <w:w w:val="100"/>
                <w:position w:val="0"/>
                <w:sz w:val="21"/>
                <w:szCs w:val="21"/>
                <w:highlight w:val="none"/>
                <w:lang w:eastAsia="zh-CN"/>
              </w:rPr>
              <w:t>一</w:t>
            </w:r>
            <w:r>
              <w:rPr>
                <w:rFonts w:ascii="Times New Roman" w:hAnsi="Times New Roman" w:eastAsia="宋体" w:cs="Times New Roman"/>
                <w:color w:val="auto"/>
                <w:spacing w:val="0"/>
                <w:w w:val="100"/>
                <w:position w:val="0"/>
                <w:sz w:val="21"/>
                <w:szCs w:val="21"/>
                <w:highlight w:val="none"/>
              </w:rPr>
              <w:t>间</w:t>
            </w:r>
            <w:r>
              <w:rPr>
                <w:rFonts w:hint="eastAsia" w:ascii="Times New Roman" w:hAnsi="Times New Roman" w:eastAsia="宋体" w:cs="Times New Roman"/>
                <w:color w:val="auto"/>
                <w:spacing w:val="0"/>
                <w:w w:val="100"/>
                <w:position w:val="0"/>
                <w:sz w:val="21"/>
                <w:szCs w:val="21"/>
                <w:highlight w:val="none"/>
                <w:lang w:eastAsia="zh-CN"/>
              </w:rPr>
              <w:t>，占地</w:t>
            </w:r>
            <w:r>
              <w:rPr>
                <w:rFonts w:hint="eastAsia" w:ascii="Times New Roman" w:hAnsi="Times New Roman" w:eastAsia="宋体" w:cs="Times New Roman"/>
                <w:color w:val="auto"/>
                <w:spacing w:val="0"/>
                <w:w w:val="100"/>
                <w:position w:val="0"/>
                <w:sz w:val="21"/>
                <w:szCs w:val="21"/>
                <w:highlight w:val="none"/>
                <w:lang w:val="en-US" w:eastAsia="zh-CN"/>
              </w:rPr>
              <w:t>面积500m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2</w:t>
            </w:r>
            <w:r>
              <w:rPr>
                <w:rFonts w:ascii="Times New Roman" w:hAnsi="Times New Roman" w:eastAsia="宋体" w:cs="Times New Roman"/>
                <w:color w:val="auto"/>
                <w:w w:val="100"/>
                <w:sz w:val="21"/>
                <w:highlight w:val="none"/>
              </w:rPr>
              <w:t xml:space="preserve"> 建筑面积</w:t>
            </w:r>
            <w:r>
              <w:rPr>
                <w:rFonts w:hint="eastAsia" w:cs="Times New Roman"/>
                <w:color w:val="auto"/>
                <w:w w:val="100"/>
                <w:sz w:val="21"/>
                <w:highlight w:val="none"/>
                <w:lang w:val="en-US" w:eastAsia="zh-CN"/>
              </w:rPr>
              <w:t>500</w:t>
            </w:r>
            <w:r>
              <w:rPr>
                <w:rFonts w:ascii="Times New Roman" w:hAnsi="Times New Roman" w:eastAsia="宋体" w:cs="Times New Roman"/>
                <w:color w:val="auto"/>
                <w:w w:val="100"/>
                <w:sz w:val="21"/>
                <w:highlight w:val="none"/>
              </w:rPr>
              <w:t>m</w:t>
            </w:r>
            <w:r>
              <w:rPr>
                <w:rFonts w:hint="eastAsia" w:cs="Times New Roman"/>
                <w:color w:val="auto"/>
                <w:w w:val="100"/>
                <w:sz w:val="21"/>
                <w:highlight w:val="none"/>
                <w:vertAlign w:val="superscript"/>
                <w:lang w:val="en-US" w:eastAsia="zh-CN"/>
              </w:rPr>
              <w:t>2</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20"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2</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原料</w:t>
            </w:r>
            <w:r>
              <w:rPr>
                <w:rFonts w:ascii="Times New Roman" w:hAnsi="Times New Roman" w:eastAsia="宋体" w:cs="Times New Roman"/>
                <w:color w:val="auto"/>
                <w:spacing w:val="0"/>
                <w:w w:val="100"/>
                <w:position w:val="0"/>
                <w:sz w:val="21"/>
                <w:szCs w:val="21"/>
                <w:highlight w:val="none"/>
              </w:rPr>
              <w:t>贮存</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snapToGrid w:val="0"/>
                <w:color w:val="auto"/>
                <w:spacing w:val="0"/>
                <w:w w:val="100"/>
                <w:kern w:val="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原料</w:t>
            </w:r>
            <w:r>
              <w:rPr>
                <w:rFonts w:ascii="Times New Roman" w:hAnsi="Times New Roman" w:eastAsia="宋体" w:cs="Times New Roman"/>
                <w:color w:val="auto"/>
                <w:spacing w:val="0"/>
                <w:w w:val="100"/>
                <w:position w:val="0"/>
                <w:sz w:val="21"/>
                <w:szCs w:val="21"/>
                <w:highlight w:val="none"/>
              </w:rPr>
              <w:t>库一间</w:t>
            </w:r>
            <w:r>
              <w:rPr>
                <w:rFonts w:hint="eastAsia" w:ascii="Times New Roman" w:hAnsi="Times New Roman" w:eastAsia="宋体" w:cs="Times New Roman"/>
                <w:color w:val="auto"/>
                <w:spacing w:val="0"/>
                <w:w w:val="100"/>
                <w:position w:val="0"/>
                <w:sz w:val="21"/>
                <w:szCs w:val="21"/>
                <w:highlight w:val="none"/>
                <w:lang w:eastAsia="zh-CN"/>
              </w:rPr>
              <w:t>，占地面积</w:t>
            </w:r>
            <w:r>
              <w:rPr>
                <w:rFonts w:hint="eastAsia" w:ascii="Times New Roman" w:hAnsi="Times New Roman" w:eastAsia="宋体" w:cs="Times New Roman"/>
                <w:color w:val="auto"/>
                <w:spacing w:val="0"/>
                <w:w w:val="100"/>
                <w:position w:val="0"/>
                <w:sz w:val="21"/>
                <w:szCs w:val="21"/>
                <w:highlight w:val="none"/>
                <w:lang w:val="en-US" w:eastAsia="zh-CN"/>
              </w:rPr>
              <w:t>500m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2</w:t>
            </w:r>
            <w:r>
              <w:rPr>
                <w:rFonts w:ascii="Times New Roman" w:hAnsi="Times New Roman" w:eastAsia="宋体" w:cs="Times New Roman"/>
                <w:color w:val="auto"/>
                <w:w w:val="100"/>
                <w:sz w:val="21"/>
                <w:highlight w:val="none"/>
              </w:rPr>
              <w:t>建筑面积</w:t>
            </w:r>
            <w:r>
              <w:rPr>
                <w:rFonts w:hint="eastAsia" w:cs="Times New Roman"/>
                <w:color w:val="auto"/>
                <w:w w:val="100"/>
                <w:sz w:val="21"/>
                <w:highlight w:val="none"/>
                <w:lang w:val="en-US" w:eastAsia="zh-CN"/>
              </w:rPr>
              <w:t>500</w:t>
            </w:r>
            <w:r>
              <w:rPr>
                <w:rFonts w:hint="eastAsia" w:ascii="Times New Roman" w:hAnsi="Times New Roman" w:eastAsia="宋体" w:cs="Times New Roman"/>
                <w:color w:val="auto"/>
                <w:w w:val="100"/>
                <w:sz w:val="21"/>
                <w:highlight w:val="none"/>
                <w:lang w:val="en-US" w:eastAsia="zh-CN"/>
              </w:rPr>
              <w:t>m</w:t>
            </w:r>
            <w:r>
              <w:rPr>
                <w:rFonts w:hint="eastAsia" w:cs="Times New Roman"/>
                <w:color w:val="auto"/>
                <w:w w:val="100"/>
                <w:sz w:val="21"/>
                <w:highlight w:val="none"/>
                <w:vertAlign w:val="superscript"/>
                <w:lang w:val="en-US" w:eastAsia="zh-CN"/>
              </w:rPr>
              <w:t>2</w:t>
            </w:r>
            <w:r>
              <w:rPr>
                <w:rFonts w:hint="default" w:ascii="Times New Roman" w:hAnsi="Times New Roman" w:eastAsia="宋体" w:cs="Times New Roman"/>
                <w:color w:val="auto"/>
                <w:spacing w:val="0"/>
                <w:w w:val="100"/>
                <w:position w:val="0"/>
                <w:sz w:val="21"/>
                <w:szCs w:val="21"/>
                <w:highlight w:val="none"/>
                <w:vertAlign w:val="superscript"/>
                <w:lang w:eastAsia="zh-CN"/>
              </w:rPr>
              <w:t>，</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20"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3</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燃料库房</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w:t>
            </w:r>
            <w:r>
              <w:rPr>
                <w:rFonts w:ascii="Times New Roman" w:hAnsi="Times New Roman" w:eastAsia="宋体" w:cs="Times New Roman"/>
                <w:caps w:val="0"/>
                <w:smallCaps w:val="0"/>
                <w:color w:val="auto"/>
                <w:spacing w:val="0"/>
                <w:w w:val="100"/>
                <w:position w:val="0"/>
                <w:sz w:val="21"/>
                <w:szCs w:val="21"/>
                <w:highlight w:val="none"/>
              </w:rPr>
              <w:t>座，</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500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cs="Times New Roman"/>
                <w:caps w:val="0"/>
                <w:smallCaps w:val="0"/>
                <w:color w:val="auto"/>
                <w:spacing w:val="0"/>
                <w:w w:val="100"/>
                <w:position w:val="0"/>
                <w:sz w:val="21"/>
                <w:szCs w:val="21"/>
                <w:highlight w:val="none"/>
                <w:lang w:val="en-US" w:eastAsia="zh-CN"/>
              </w:rPr>
              <w:t>燃料</w:t>
            </w:r>
            <w:r>
              <w:rPr>
                <w:rFonts w:ascii="Times New Roman" w:hAnsi="Times New Roman" w:eastAsia="宋体" w:cs="Times New Roman"/>
                <w:caps w:val="0"/>
                <w:smallCaps w:val="0"/>
                <w:color w:val="auto"/>
                <w:spacing w:val="0"/>
                <w:w w:val="100"/>
                <w:position w:val="0"/>
                <w:sz w:val="21"/>
                <w:szCs w:val="21"/>
                <w:highlight w:val="none"/>
              </w:rPr>
              <w:t>贮存场所</w:t>
            </w:r>
            <w:r>
              <w:rPr>
                <w:rFonts w:hint="eastAsia" w:cs="Times New Roman"/>
                <w:caps w:val="0"/>
                <w:smallCaps w:val="0"/>
                <w:color w:val="auto"/>
                <w:spacing w:val="0"/>
                <w:w w:val="100"/>
                <w:position w:val="0"/>
                <w:sz w:val="21"/>
                <w:szCs w:val="21"/>
                <w:highlight w:val="none"/>
                <w:lang w:val="en-US" w:eastAsia="zh-CN"/>
              </w:rPr>
              <w:t>。</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left="0" w:leftChars="0" w:right="0" w:rightChars="0"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78"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4</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危险废物暂存间</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位于生产车间内，机修间</w:t>
            </w:r>
            <w:r>
              <w:rPr>
                <w:rFonts w:hint="eastAsia" w:ascii="Times New Roman" w:cs="Times New Roman"/>
                <w:caps w:val="0"/>
                <w:smallCaps w:val="0"/>
                <w:color w:val="auto"/>
                <w:spacing w:val="0"/>
                <w:w w:val="100"/>
                <w:position w:val="0"/>
                <w:sz w:val="21"/>
                <w:szCs w:val="21"/>
                <w:highlight w:val="none"/>
                <w:lang w:val="en-US" w:eastAsia="zh-CN"/>
              </w:rPr>
              <w:t>东</w:t>
            </w:r>
            <w:r>
              <w:rPr>
                <w:rFonts w:hint="eastAsia" w:ascii="Times New Roman" w:hAnsi="Times New Roman" w:eastAsia="宋体" w:cs="Times New Roman"/>
                <w:caps w:val="0"/>
                <w:smallCaps w:val="0"/>
                <w:color w:val="auto"/>
                <w:spacing w:val="0"/>
                <w:w w:val="100"/>
                <w:position w:val="0"/>
                <w:sz w:val="21"/>
                <w:szCs w:val="21"/>
                <w:highlight w:val="none"/>
                <w:lang w:eastAsia="zh-CN"/>
              </w:rPr>
              <w:t>侧，建筑面积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w:t>
            </w:r>
            <w:r>
              <w:rPr>
                <w:rFonts w:ascii="Times New Roman" w:hAnsi="Times New Roman" w:eastAsia="宋体" w:cs="Times New Roman"/>
                <w:caps w:val="0"/>
                <w:smallCaps w:val="0"/>
                <w:color w:val="auto"/>
                <w:spacing w:val="0"/>
                <w:w w:val="100"/>
                <w:position w:val="0"/>
                <w:sz w:val="21"/>
                <w:szCs w:val="21"/>
                <w:highlight w:val="none"/>
              </w:rPr>
              <w:t>m</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lang w:eastAsia="zh-CN"/>
              </w:rPr>
              <w:t>。用于暂存机修产生的废润滑油</w:t>
            </w:r>
            <w:r>
              <w:rPr>
                <w:rFonts w:hint="eastAsia" w:cs="Times New Roman"/>
                <w:caps w:val="0"/>
                <w:smallCaps w:val="0"/>
                <w:color w:val="auto"/>
                <w:spacing w:val="0"/>
                <w:w w:val="100"/>
                <w:position w:val="0"/>
                <w:sz w:val="21"/>
                <w:szCs w:val="21"/>
                <w:highlight w:val="none"/>
                <w:lang w:val="en-US" w:eastAsia="zh-CN"/>
              </w:rPr>
              <w:t>及废活性炭</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left="0" w:leftChars="0" w:right="0" w:rightChars="0"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四</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辅助工程</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办公</w:t>
            </w:r>
            <w:r>
              <w:rPr>
                <w:rFonts w:ascii="Times New Roman" w:hAnsi="Times New Roman" w:eastAsia="宋体" w:cs="Times New Roman"/>
                <w:color w:val="auto"/>
                <w:spacing w:val="0"/>
                <w:w w:val="100"/>
                <w:position w:val="0"/>
                <w:sz w:val="21"/>
                <w:szCs w:val="21"/>
                <w:highlight w:val="none"/>
              </w:rPr>
              <w:t>楼</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highlight w:val="none"/>
                <w:lang w:val="en-US"/>
              </w:rPr>
            </w:pPr>
            <w:r>
              <w:rPr>
                <w:rFonts w:ascii="Times New Roman" w:hAnsi="Times New Roman" w:eastAsia="宋体" w:cs="Times New Roman"/>
                <w:color w:val="auto"/>
                <w:spacing w:val="0"/>
                <w:w w:val="100"/>
                <w:position w:val="0"/>
                <w:sz w:val="21"/>
                <w:szCs w:val="21"/>
                <w:highlight w:val="none"/>
              </w:rPr>
              <w:t>1座</w:t>
            </w:r>
            <w:r>
              <w:rPr>
                <w:rFonts w:hint="eastAsia" w:ascii="Times New Roman" w:hAnsi="Times New Roman" w:eastAsia="宋体" w:cs="Times New Roman"/>
                <w:color w:val="auto"/>
                <w:spacing w:val="0"/>
                <w:w w:val="100"/>
                <w:position w:val="0"/>
                <w:sz w:val="21"/>
                <w:szCs w:val="21"/>
                <w:highlight w:val="none"/>
                <w:lang w:eastAsia="zh-CN"/>
              </w:rPr>
              <w:t>，占地面积</w:t>
            </w:r>
            <w:r>
              <w:rPr>
                <w:rFonts w:hint="eastAsia" w:ascii="Times New Roman" w:hAnsi="Times New Roman" w:eastAsia="宋体" w:cs="Times New Roman"/>
                <w:color w:val="auto"/>
                <w:spacing w:val="0"/>
                <w:w w:val="100"/>
                <w:position w:val="0"/>
                <w:sz w:val="21"/>
                <w:szCs w:val="21"/>
                <w:highlight w:val="none"/>
                <w:lang w:val="en-US" w:eastAsia="zh-CN"/>
              </w:rPr>
              <w:t>600m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olor w:val="auto"/>
                <w:spacing w:val="0"/>
                <w:w w:val="100"/>
                <w:position w:val="0"/>
                <w:sz w:val="21"/>
                <w:szCs w:val="21"/>
                <w:highlight w:val="none"/>
                <w:lang w:val="en-US" w:eastAsia="zh-CN"/>
              </w:rPr>
              <w:t>，建筑面积</w:t>
            </w:r>
            <w:r>
              <w:rPr>
                <w:rFonts w:hint="eastAsia" w:cs="Times New Roman"/>
                <w:color w:val="auto"/>
                <w:spacing w:val="0"/>
                <w:w w:val="100"/>
                <w:position w:val="0"/>
                <w:sz w:val="21"/>
                <w:szCs w:val="21"/>
                <w:highlight w:val="none"/>
                <w:lang w:val="en-US" w:eastAsia="zh-CN"/>
              </w:rPr>
              <w:t>6</w:t>
            </w:r>
            <w:r>
              <w:rPr>
                <w:rFonts w:hint="eastAsia" w:ascii="Times New Roman" w:hAnsi="Times New Roman" w:eastAsia="宋体" w:cs="Times New Roman"/>
                <w:color w:val="auto"/>
                <w:spacing w:val="0"/>
                <w:w w:val="100"/>
                <w:position w:val="0"/>
                <w:sz w:val="21"/>
                <w:szCs w:val="21"/>
                <w:highlight w:val="none"/>
                <w:lang w:val="en-US" w:eastAsia="zh-CN"/>
              </w:rPr>
              <w:t>00m</w:t>
            </w:r>
            <w:r>
              <w:rPr>
                <w:rFonts w:hint="eastAsia" w:cs="Times New Roman"/>
                <w:color w:val="auto"/>
                <w:spacing w:val="0"/>
                <w:w w:val="100"/>
                <w:position w:val="0"/>
                <w:sz w:val="21"/>
                <w:szCs w:val="21"/>
                <w:highlight w:val="none"/>
                <w:vertAlign w:val="superscript"/>
                <w:lang w:val="en-US" w:eastAsia="zh-CN"/>
              </w:rPr>
              <w:t>2</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五</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环保工程</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78"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污水处理设施</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snapToGrid w:val="0"/>
                <w:color w:val="auto"/>
                <w:spacing w:val="0"/>
                <w:w w:val="100"/>
                <w:kern w:val="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位于生产车间内部东南角，</w:t>
            </w:r>
            <w:r>
              <w:rPr>
                <w:rFonts w:ascii="Times New Roman" w:hAnsi="Times New Roman" w:eastAsia="宋体" w:cs="Times New Roman"/>
                <w:color w:val="auto"/>
                <w:spacing w:val="0"/>
                <w:w w:val="100"/>
                <w:position w:val="0"/>
                <w:sz w:val="21"/>
                <w:szCs w:val="21"/>
                <w:highlight w:val="none"/>
              </w:rPr>
              <w:t>污水处理站1座</w:t>
            </w:r>
            <w:r>
              <w:rPr>
                <w:rFonts w:hint="eastAsia" w:ascii="Times New Roman" w:hAnsi="Times New Roman" w:eastAsia="宋体" w:cs="Times New Roman"/>
                <w:color w:val="auto"/>
                <w:spacing w:val="0"/>
                <w:w w:val="100"/>
                <w:position w:val="0"/>
                <w:sz w:val="21"/>
                <w:szCs w:val="21"/>
                <w:highlight w:val="none"/>
                <w:lang w:eastAsia="zh-CN"/>
              </w:rPr>
              <w:t>，采取气浮+A/O生化+沉淀处理工艺</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不变</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50" w:hRule="atLeast"/>
          <w:jc w:val="center"/>
        </w:trPr>
        <w:tc>
          <w:tcPr>
            <w:tcW w:w="5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eastAsia" w:ascii="Times New Roman" w:hAnsi="Times New Roman" w:eastAsia="宋体" w:cs="Times New Roman"/>
                <w:snapToGrid w:val="0"/>
                <w:color w:val="auto"/>
                <w:spacing w:val="0"/>
                <w:w w:val="100"/>
                <w:kern w:val="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c>
          <w:tcPr>
            <w:tcW w:w="155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ascii="Times New Roman" w:hAnsi="Times New Roman" w:eastAsia="宋体" w:cs="Times New Roman"/>
                <w:snapToGrid w:val="0"/>
                <w:color w:val="auto"/>
                <w:spacing w:val="0"/>
                <w:w w:val="100"/>
                <w:kern w:val="0"/>
                <w:position w:val="0"/>
                <w:sz w:val="21"/>
                <w:szCs w:val="21"/>
                <w:highlight w:val="none"/>
              </w:rPr>
            </w:pPr>
            <w:r>
              <w:rPr>
                <w:rFonts w:ascii="Times New Roman" w:hAnsi="Times New Roman" w:eastAsia="宋体" w:cs="Times New Roman"/>
                <w:color w:val="auto"/>
                <w:spacing w:val="0"/>
                <w:w w:val="100"/>
                <w:position w:val="0"/>
                <w:sz w:val="21"/>
                <w:szCs w:val="21"/>
                <w:highlight w:val="none"/>
              </w:rPr>
              <w:t>锅炉烟气处理系统</w:t>
            </w:r>
          </w:p>
        </w:tc>
        <w:tc>
          <w:tcPr>
            <w:tcW w:w="38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highlight w:val="none"/>
                <w:lang w:val="en-US"/>
              </w:rPr>
            </w:pPr>
            <w:r>
              <w:rPr>
                <w:rFonts w:hint="eastAsia" w:ascii="Times New Roman" w:hAnsi="Times New Roman" w:eastAsia="宋体" w:cs="Times New Roman"/>
                <w:color w:val="auto"/>
                <w:spacing w:val="0"/>
                <w:w w:val="100"/>
                <w:position w:val="0"/>
                <w:sz w:val="21"/>
                <w:szCs w:val="21"/>
                <w:highlight w:val="none"/>
                <w:lang w:eastAsia="zh-CN"/>
              </w:rPr>
              <w:t>水膜除尘</w:t>
            </w:r>
            <w:r>
              <w:rPr>
                <w:rFonts w:hint="eastAsia" w:ascii="Times New Roman" w:hAnsi="Times New Roman" w:eastAsia="宋体" w:cs="Times New Roman"/>
                <w:color w:val="auto"/>
                <w:spacing w:val="0"/>
                <w:w w:val="100"/>
                <w:position w:val="0"/>
                <w:sz w:val="21"/>
                <w:szCs w:val="21"/>
                <w:highlight w:val="none"/>
                <w:lang w:val="en-US" w:eastAsia="zh-CN"/>
              </w:rPr>
              <w:t>+35米高排气筒</w:t>
            </w:r>
          </w:p>
        </w:tc>
        <w:tc>
          <w:tcPr>
            <w:tcW w:w="272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360" w:lineRule="exact"/>
              <w:ind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snapToGrid w:val="0"/>
                <w:color w:val="auto"/>
                <w:spacing w:val="0"/>
                <w:w w:val="100"/>
                <w:kern w:val="0"/>
                <w:position w:val="0"/>
                <w:sz w:val="21"/>
                <w:szCs w:val="21"/>
                <w:highlight w:val="none"/>
                <w:lang w:eastAsia="zh-CN"/>
              </w:rPr>
              <w:t>已更换为袋式除尘</w:t>
            </w:r>
            <w:r>
              <w:rPr>
                <w:rFonts w:hint="eastAsia" w:ascii="Times New Roman" w:hAnsi="Times New Roman" w:eastAsia="宋体" w:cs="Times New Roman"/>
                <w:snapToGrid w:val="0"/>
                <w:color w:val="auto"/>
                <w:spacing w:val="0"/>
                <w:w w:val="100"/>
                <w:kern w:val="0"/>
                <w:position w:val="0"/>
                <w:sz w:val="21"/>
                <w:szCs w:val="21"/>
                <w:highlight w:val="none"/>
                <w:lang w:val="en-US" w:eastAsia="zh-CN"/>
              </w:rPr>
              <w:t>+35米高排气筒</w:t>
            </w: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67" w:name="_bookmark42"/>
      <w:bookmarkEnd w:id="167"/>
      <w:bookmarkStart w:id="168" w:name="_bookmark42"/>
      <w:bookmarkEnd w:id="168"/>
      <w:bookmarkStart w:id="169" w:name="_Toc28266"/>
      <w:r>
        <w:rPr>
          <w:rFonts w:hint="eastAsia" w:ascii="Times New Roman" w:hAnsi="Times New Roman" w:eastAsia="宋体" w:cs="Times New Roman"/>
          <w:bCs w:val="0"/>
          <w:color w:val="auto"/>
          <w:szCs w:val="20"/>
          <w:highlight w:val="none"/>
          <w:lang w:val="en-US" w:eastAsia="zh-CN" w:bidi="ar-SA"/>
        </w:rPr>
        <w:t>3.1.3</w:t>
      </w:r>
      <w:r>
        <w:rPr>
          <w:rFonts w:ascii="Times New Roman" w:hAnsi="Times New Roman" w:eastAsia="宋体" w:cs="Times New Roman"/>
          <w:bCs w:val="0"/>
          <w:color w:val="auto"/>
          <w:szCs w:val="20"/>
          <w:highlight w:val="none"/>
          <w:lang w:val="en-US" w:bidi="ar-SA"/>
        </w:rPr>
        <w:t>厂区平面布置</w:t>
      </w:r>
      <w:bookmarkEnd w:id="169"/>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根据现场踏勘的情况，整个厂区呈正方形，生产车间位于厂区中部，生产设备按照生产工艺流程由东向西依次安装。办公楼位于厂区东侧，锅炉房位于生产车间西北侧，原料库房位于生产车间北侧</w:t>
      </w:r>
      <w:r>
        <w:rPr>
          <w:rFonts w:hint="eastAsia" w:ascii="Times New Roman" w:hAnsi="Times New Roman" w:eastAsia="宋体" w:cs="Times New Roman"/>
          <w:color w:val="auto"/>
          <w:sz w:val="24"/>
          <w:highlight w:val="none"/>
          <w:lang w:val="en-US" w:eastAsia="zh-CN"/>
        </w:rPr>
        <w:t>22m，成品库房位于生产车间西南侧7m，</w:t>
      </w:r>
      <w:r>
        <w:rPr>
          <w:rFonts w:hint="eastAsia" w:ascii="Times New Roman" w:hAnsi="Times New Roman" w:eastAsia="宋体" w:cs="Times New Roman"/>
          <w:color w:val="auto"/>
          <w:sz w:val="24"/>
          <w:highlight w:val="none"/>
          <w:lang w:eastAsia="zh-CN"/>
        </w:rPr>
        <w:t>项目平面布置基本保证了工艺流程的顺畅紧凑，同时最大限度地节省厂区占地，减少物料输送流程，为厂区的绿化美化工作提供了较大的空间。厂区平面布置合理，详见附图</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70" w:name="_bookmark43"/>
      <w:bookmarkEnd w:id="170"/>
      <w:bookmarkStart w:id="171" w:name="_bookmark43"/>
      <w:bookmarkEnd w:id="171"/>
      <w:bookmarkStart w:id="172" w:name="_Toc32279"/>
      <w:r>
        <w:rPr>
          <w:rFonts w:hint="eastAsia" w:ascii="Times New Roman" w:hAnsi="Times New Roman" w:eastAsia="宋体" w:cs="Times New Roman"/>
          <w:bCs w:val="0"/>
          <w:color w:val="auto"/>
          <w:szCs w:val="20"/>
          <w:highlight w:val="none"/>
          <w:lang w:val="en-US" w:eastAsia="zh-CN" w:bidi="ar-SA"/>
        </w:rPr>
        <w:t>3.1.4</w:t>
      </w:r>
      <w:r>
        <w:rPr>
          <w:rFonts w:hint="eastAsia" w:ascii="Times New Roman" w:hAnsi="Times New Roman" w:cs="Times New Roman"/>
          <w:bCs w:val="0"/>
          <w:color w:val="auto"/>
          <w:szCs w:val="20"/>
          <w:highlight w:val="none"/>
          <w:lang w:val="en-US" w:eastAsia="zh-CN" w:bidi="ar-SA"/>
        </w:rPr>
        <w:t>原</w:t>
      </w:r>
      <w:r>
        <w:rPr>
          <w:rFonts w:ascii="Times New Roman" w:hAnsi="Times New Roman" w:eastAsia="宋体" w:cs="Times New Roman"/>
          <w:bCs w:val="0"/>
          <w:color w:val="auto"/>
          <w:szCs w:val="20"/>
          <w:highlight w:val="none"/>
          <w:lang w:val="en-US" w:bidi="ar-SA"/>
        </w:rPr>
        <w:t>有项目原材料及能源消耗</w:t>
      </w:r>
      <w:bookmarkEnd w:id="172"/>
    </w:p>
    <w:p>
      <w:pPr>
        <w:bidi w:val="0"/>
        <w:spacing w:line="500" w:lineRule="exact"/>
        <w:ind w:firstLine="480" w:firstLineChars="200"/>
        <w:rPr>
          <w:rFonts w:hint="eastAsia" w:ascii="Times New Roman" w:hAnsi="Times New Roman" w:eastAsia="宋体" w:cs="Times New Roman"/>
          <w:color w:val="auto"/>
          <w:sz w:val="24"/>
          <w:highlight w:val="none"/>
          <w:lang w:eastAsia="zh-CN"/>
        </w:rPr>
      </w:pPr>
      <w:bookmarkStart w:id="173" w:name="_bookmark44"/>
      <w:bookmarkEnd w:id="173"/>
      <w:bookmarkStart w:id="174" w:name="_bookmark44"/>
      <w:bookmarkEnd w:id="174"/>
      <w:r>
        <w:rPr>
          <w:rFonts w:hint="eastAsia" w:ascii="Times New Roman" w:hAnsi="Times New Roman" w:eastAsia="宋体" w:cs="Times New Roman"/>
          <w:color w:val="auto"/>
          <w:sz w:val="24"/>
          <w:highlight w:val="none"/>
          <w:lang w:eastAsia="zh-CN"/>
        </w:rPr>
        <w:t>项目主要原材料及能源消耗指标见表3.1</w:t>
      </w:r>
      <w:r>
        <w:rPr>
          <w:rFonts w:hint="eastAsia" w:ascii="Times New Roman" w:hAnsi="Times New Roman" w:eastAsia="宋体" w:cs="Times New Roman"/>
          <w:color w:val="auto"/>
          <w:sz w:val="24"/>
          <w:highlight w:val="none"/>
          <w:lang w:val="en-US" w:eastAsia="zh-CN"/>
        </w:rPr>
        <w:t>.4-1</w:t>
      </w:r>
      <w:r>
        <w:rPr>
          <w:rFonts w:hint="eastAsia" w:ascii="Times New Roman" w:hAnsi="Times New Roman" w:eastAsia="宋体" w:cs="Times New Roman"/>
          <w:color w:val="auto"/>
          <w:sz w:val="24"/>
          <w:highlight w:val="none"/>
          <w:lang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表</w:t>
      </w:r>
      <w:r>
        <w:rPr>
          <w:rFonts w:hint="eastAsia" w:ascii="Times New Roman" w:hAnsi="Times New Roman" w:eastAsia="宋体" w:cs="Times New Roman"/>
          <w:color w:val="auto"/>
          <w:sz w:val="24"/>
          <w:highlight w:val="none"/>
          <w:lang w:val="en-US" w:eastAsia="zh-CN"/>
        </w:rPr>
        <w:t>3.1.4-1</w:t>
      </w:r>
      <w:r>
        <w:rPr>
          <w:rFonts w:hint="eastAsia" w:ascii="Times New Roman" w:hAnsi="Times New Roman" w:eastAsia="宋体" w:cs="Times New Roman"/>
          <w:color w:val="auto"/>
          <w:sz w:val="24"/>
          <w:highlight w:val="none"/>
          <w:lang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eastAsia" w:cs="Times New Roman"/>
          <w:color w:val="auto"/>
          <w:sz w:val="24"/>
          <w:highlight w:val="none"/>
          <w:lang w:eastAsia="zh-CN"/>
        </w:rPr>
        <w:t>原</w:t>
      </w:r>
      <w:r>
        <w:rPr>
          <w:rFonts w:hint="eastAsia" w:ascii="Times New Roman" w:hAnsi="Times New Roman" w:eastAsia="宋体" w:cs="Times New Roman"/>
          <w:color w:val="auto"/>
          <w:sz w:val="24"/>
          <w:highlight w:val="none"/>
          <w:lang w:eastAsia="zh-CN"/>
        </w:rPr>
        <w:t>有工程主要原辅材料及能源消耗情况一览表</w:t>
      </w:r>
    </w:p>
    <w:tbl>
      <w:tblPr>
        <w:tblStyle w:val="28"/>
        <w:tblW w:w="4934"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542"/>
        <w:gridCol w:w="4004"/>
        <w:gridCol w:w="1380"/>
        <w:gridCol w:w="203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序号</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原辅材料/能源名称</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单位</w:t>
            </w:r>
          </w:p>
        </w:tc>
        <w:tc>
          <w:tcPr>
            <w:tcW w:w="113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原有项目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22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漂白针叶木浆和</w:t>
            </w:r>
            <w:r>
              <w:rPr>
                <w:rFonts w:hint="eastAsia" w:ascii="Times New Roman" w:cs="Times New Roman"/>
                <w:color w:val="auto"/>
                <w:spacing w:val="0"/>
                <w:w w:val="100"/>
                <w:position w:val="0"/>
                <w:sz w:val="21"/>
                <w:szCs w:val="21"/>
                <w:highlight w:val="none"/>
                <w:lang w:eastAsia="zh-CN"/>
              </w:rPr>
              <w:t>木浆成份纸板</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10100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w:t>
            </w:r>
          </w:p>
        </w:tc>
        <w:tc>
          <w:tcPr>
            <w:tcW w:w="22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分散剂</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w:t>
            </w:r>
          </w:p>
        </w:tc>
        <w:tc>
          <w:tcPr>
            <w:tcW w:w="22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剥离剂</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1.3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4</w:t>
            </w:r>
          </w:p>
        </w:tc>
        <w:tc>
          <w:tcPr>
            <w:tcW w:w="22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包装箱</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800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5</w:t>
            </w:r>
          </w:p>
        </w:tc>
        <w:tc>
          <w:tcPr>
            <w:tcW w:w="22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纸芯原纸</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445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7</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煤</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5000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9</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离子交换树脂</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10</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spacing w:val="-4"/>
                <w:sz w:val="21"/>
              </w:rPr>
              <w:t>聚合氯化铝</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6.0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11</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spacing w:val="-4"/>
                <w:sz w:val="21"/>
              </w:rPr>
              <w:t>聚丙烯酰胺</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12</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eastAsia="宋体"/>
                <w:spacing w:val="-4"/>
                <w:sz w:val="21"/>
                <w:lang w:val="en-US" w:eastAsia="zh-CN"/>
              </w:rPr>
            </w:pPr>
            <w:r>
              <w:rPr>
                <w:rFonts w:hint="eastAsia"/>
                <w:spacing w:val="-4"/>
                <w:sz w:val="21"/>
                <w:lang w:val="en-US" w:eastAsia="zh-CN"/>
              </w:rPr>
              <w:t>润滑油</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13</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水</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bidi="ar-SA"/>
              </w:rPr>
              <w:t>4.0x10</w:t>
            </w:r>
            <w:r>
              <w:rPr>
                <w:rFonts w:hint="eastAsia" w:ascii="Times New Roman" w:hAnsi="Times New Roman" w:eastAsia="宋体" w:cs="Times New Roman"/>
                <w:color w:val="auto"/>
                <w:spacing w:val="0"/>
                <w:w w:val="100"/>
                <w:position w:val="0"/>
                <w:sz w:val="21"/>
                <w:szCs w:val="21"/>
                <w:highlight w:val="none"/>
                <w:vertAlign w:val="superscript"/>
                <w:lang w:val="en-US" w:eastAsia="zh-CN" w:bidi="ar-SA"/>
              </w:rPr>
              <w:t>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86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w:t>
            </w:r>
          </w:p>
        </w:tc>
        <w:tc>
          <w:tcPr>
            <w:tcW w:w="22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电</w:t>
            </w:r>
          </w:p>
        </w:tc>
        <w:tc>
          <w:tcPr>
            <w:tcW w:w="7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万kwh/a</w:t>
            </w:r>
          </w:p>
        </w:tc>
        <w:tc>
          <w:tcPr>
            <w:tcW w:w="1133"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bidi="ar-SA"/>
              </w:rPr>
              <w:t>7</w:t>
            </w:r>
            <w:r>
              <w:rPr>
                <w:rFonts w:hint="eastAsia" w:cs="Times New Roman"/>
                <w:color w:val="auto"/>
                <w:spacing w:val="0"/>
                <w:w w:val="100"/>
                <w:position w:val="0"/>
                <w:sz w:val="21"/>
                <w:szCs w:val="21"/>
                <w:highlight w:val="none"/>
                <w:lang w:val="en-US" w:eastAsia="zh-CN" w:bidi="ar-SA"/>
              </w:rPr>
              <w:t>00</w:t>
            </w:r>
          </w:p>
        </w:tc>
      </w:tr>
    </w:tbl>
    <w:p>
      <w:pPr>
        <w:spacing w:line="38" w:lineRule="exact"/>
        <w:rPr>
          <w:rFonts w:ascii="Times New Roman" w:hAnsi="Times New Roman" w:eastAsia="宋体" w:cs="Times New Roman"/>
          <w:color w:val="auto"/>
          <w:spacing w:val="0"/>
          <w:w w:val="99"/>
          <w:position w:val="0"/>
          <w:highlight w:val="none"/>
        </w:rPr>
      </w:pP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75" w:name="_Toc7590"/>
      <w:r>
        <w:rPr>
          <w:rFonts w:hint="eastAsia" w:ascii="Times New Roman" w:hAnsi="Times New Roman" w:eastAsia="宋体" w:cs="Times New Roman"/>
          <w:bCs w:val="0"/>
          <w:color w:val="auto"/>
          <w:szCs w:val="20"/>
          <w:highlight w:val="none"/>
          <w:lang w:val="en-US" w:eastAsia="zh-CN" w:bidi="ar-SA"/>
        </w:rPr>
        <w:t>3.1.5</w:t>
      </w:r>
      <w:r>
        <w:rPr>
          <w:rFonts w:hint="eastAsia" w:ascii="Times New Roman" w:hAnsi="Times New Roman" w:cs="Times New Roman"/>
          <w:bCs w:val="0"/>
          <w:color w:val="auto"/>
          <w:szCs w:val="20"/>
          <w:highlight w:val="none"/>
          <w:lang w:val="en-US" w:eastAsia="zh-CN" w:bidi="ar-SA"/>
        </w:rPr>
        <w:t>原</w:t>
      </w:r>
      <w:r>
        <w:rPr>
          <w:rFonts w:ascii="Times New Roman" w:hAnsi="Times New Roman" w:eastAsia="宋体" w:cs="Times New Roman"/>
          <w:bCs w:val="0"/>
          <w:color w:val="auto"/>
          <w:szCs w:val="20"/>
          <w:highlight w:val="none"/>
          <w:lang w:val="en-US" w:bidi="ar-SA"/>
        </w:rPr>
        <w:t>有项目生产设备</w:t>
      </w:r>
      <w:bookmarkEnd w:id="175"/>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根据现场踏勘的情况，</w:t>
      </w:r>
      <w:r>
        <w:rPr>
          <w:rFonts w:hint="eastAsia" w:cs="Times New Roman"/>
          <w:color w:val="auto"/>
          <w:sz w:val="24"/>
          <w:highlight w:val="none"/>
          <w:lang w:eastAsia="zh-CN"/>
        </w:rPr>
        <w:t>原</w:t>
      </w:r>
      <w:r>
        <w:rPr>
          <w:rFonts w:hint="eastAsia" w:ascii="Times New Roman" w:hAnsi="Times New Roman" w:eastAsia="宋体" w:cs="Times New Roman"/>
          <w:color w:val="auto"/>
          <w:sz w:val="24"/>
          <w:highlight w:val="none"/>
          <w:lang w:eastAsia="zh-CN"/>
        </w:rPr>
        <w:t>有工程主要生产设备详见表</w:t>
      </w:r>
      <w:r>
        <w:rPr>
          <w:rFonts w:hint="eastAsia" w:ascii="Times New Roman" w:hAnsi="Times New Roman" w:eastAsia="宋体" w:cs="Times New Roman"/>
          <w:color w:val="auto"/>
          <w:sz w:val="24"/>
          <w:highlight w:val="none"/>
          <w:lang w:val="en-US" w:eastAsia="zh-CN"/>
        </w:rPr>
        <w:t>3.1.5-1</w:t>
      </w:r>
      <w:r>
        <w:rPr>
          <w:rFonts w:hint="eastAsia" w:ascii="Times New Roman" w:hAnsi="Times New Roman" w:eastAsia="宋体" w:cs="Times New Roman"/>
          <w:color w:val="auto"/>
          <w:sz w:val="24"/>
          <w:highlight w:val="none"/>
          <w:lang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表</w:t>
      </w:r>
      <w:r>
        <w:rPr>
          <w:rFonts w:hint="eastAsia" w:ascii="Times New Roman" w:hAnsi="Times New Roman" w:eastAsia="宋体" w:cs="Times New Roman"/>
          <w:color w:val="auto"/>
          <w:sz w:val="24"/>
          <w:highlight w:val="none"/>
          <w:lang w:val="en-US" w:eastAsia="zh-CN"/>
        </w:rPr>
        <w:t>3.1.5-1</w:t>
      </w:r>
      <w:r>
        <w:rPr>
          <w:rFonts w:hint="eastAsia" w:ascii="Times New Roman" w:hAnsi="Times New Roman" w:eastAsia="宋体" w:cs="Times New Roman"/>
          <w:color w:val="auto"/>
          <w:sz w:val="24"/>
          <w:highlight w:val="none"/>
          <w:lang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eastAsia" w:cs="Times New Roman"/>
          <w:color w:val="auto"/>
          <w:sz w:val="24"/>
          <w:highlight w:val="none"/>
          <w:lang w:eastAsia="zh-CN"/>
        </w:rPr>
        <w:t>原</w:t>
      </w:r>
      <w:r>
        <w:rPr>
          <w:rFonts w:hint="eastAsia" w:ascii="Times New Roman" w:hAnsi="Times New Roman" w:eastAsia="宋体" w:cs="Times New Roman"/>
          <w:color w:val="auto"/>
          <w:sz w:val="24"/>
          <w:highlight w:val="none"/>
          <w:lang w:eastAsia="zh-CN"/>
        </w:rPr>
        <w:t>有项目主要设备一览表</w:t>
      </w:r>
    </w:p>
    <w:p>
      <w:pPr>
        <w:spacing w:line="35" w:lineRule="exact"/>
        <w:rPr>
          <w:rFonts w:ascii="Times New Roman" w:hAnsi="Times New Roman" w:eastAsia="宋体" w:cs="Times New Roman"/>
          <w:color w:val="auto"/>
          <w:spacing w:val="0"/>
          <w:w w:val="99"/>
          <w:position w:val="0"/>
          <w:highlight w:val="none"/>
        </w:rPr>
      </w:pPr>
    </w:p>
    <w:tbl>
      <w:tblPr>
        <w:tblStyle w:val="28"/>
        <w:tblW w:w="893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186"/>
        <w:gridCol w:w="3398"/>
        <w:gridCol w:w="2223"/>
        <w:gridCol w:w="213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7" w:hRule="atLeast"/>
          <w:jc w:val="center"/>
        </w:trPr>
        <w:tc>
          <w:tcPr>
            <w:tcW w:w="118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序号</w:t>
            </w:r>
          </w:p>
        </w:tc>
        <w:tc>
          <w:tcPr>
            <w:tcW w:w="339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设备名称</w:t>
            </w:r>
          </w:p>
        </w:tc>
        <w:tc>
          <w:tcPr>
            <w:tcW w:w="435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数量</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台/套）</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339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highlight w:val="none"/>
              </w:rPr>
            </w:pP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cs="Times New Roman"/>
                <w:color w:val="auto"/>
                <w:spacing w:val="0"/>
                <w:w w:val="100"/>
                <w:position w:val="0"/>
                <w:sz w:val="21"/>
                <w:szCs w:val="21"/>
                <w:highlight w:val="none"/>
                <w:lang w:eastAsia="zh-CN"/>
              </w:rPr>
              <w:t>原有项目情况</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现场情况</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15m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高浓度水利碎浆机</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2131"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5m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高浓度水利碎浆机</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31"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1.2m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压力筛</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31"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4</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0.6m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压力筛</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5</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跳筛</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6</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跳筛</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7</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斜筛</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8</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浆泵</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14</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木粉筛选机</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10</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离心泵</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6</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11</w:t>
            </w:r>
          </w:p>
        </w:tc>
        <w:tc>
          <w:tcPr>
            <w:tcW w:w="33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450</w:t>
            </w:r>
            <w:r>
              <w:rPr>
                <w:rFonts w:hint="eastAsia" w:ascii="Times New Roman" w:hAnsi="Times New Roman" w:eastAsia="宋体" w:cs="Times New Roman"/>
                <w:caps w:val="0"/>
                <w:smallCaps w:val="0"/>
                <w:color w:val="auto"/>
                <w:spacing w:val="0"/>
                <w:w w:val="100"/>
                <w:position w:val="0"/>
                <w:sz w:val="21"/>
                <w:highlight w:val="none"/>
              </w:rPr>
              <w:t>双盘磨浆机</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12</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eastAsia="zh-CN"/>
              </w:rPr>
            </w:pPr>
            <w:r>
              <w:rPr>
                <w:rFonts w:ascii="Times New Roman" w:hAnsi="Times New Roman" w:eastAsia="宋体" w:cs="Times New Roman"/>
                <w:caps w:val="0"/>
                <w:smallCaps w:val="0"/>
                <w:color w:val="auto"/>
                <w:spacing w:val="0"/>
                <w:w w:val="100"/>
                <w:kern w:val="0"/>
                <w:position w:val="0"/>
                <w:sz w:val="21"/>
                <w:szCs w:val="21"/>
                <w:highlight w:val="none"/>
              </w:rPr>
              <w:t>3600mm平板纸纸机</w:t>
            </w: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3500型</w:t>
            </w: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0</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13</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1575型纸机</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4</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14</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切纸机</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卷纸机</w:t>
            </w:r>
          </w:p>
        </w:tc>
        <w:tc>
          <w:tcPr>
            <w:tcW w:w="2223"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snapToGrid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2</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16</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生物质</w:t>
            </w: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蒸汽</w:t>
            </w:r>
            <w:r>
              <w:rPr>
                <w:rFonts w:ascii="Times New Roman" w:hAnsi="Times New Roman" w:eastAsia="宋体" w:cs="Times New Roman"/>
                <w:caps w:val="0"/>
                <w:smallCaps w:val="0"/>
                <w:color w:val="auto"/>
                <w:spacing w:val="0"/>
                <w:w w:val="100"/>
                <w:kern w:val="0"/>
                <w:position w:val="0"/>
                <w:sz w:val="21"/>
                <w:szCs w:val="21"/>
                <w:highlight w:val="none"/>
              </w:rPr>
              <w:t>锅炉</w:t>
            </w:r>
            <w:r>
              <w:rPr>
                <w:rFonts w:hint="eastAsia" w:ascii="Times New Roman" w:hAnsi="Times New Roman" w:eastAsia="宋体" w:cs="Times New Roman"/>
                <w:color w:val="auto"/>
                <w:w w:val="100"/>
                <w:sz w:val="21"/>
                <w:highlight w:val="none"/>
                <w:lang w:eastAsia="zh-CN"/>
              </w:rPr>
              <w:t>及配套设备</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17</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燃煤蒸汽锅炉及配套设备</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2" w:hRule="atLeast"/>
          <w:jc w:val="center"/>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18</w:t>
            </w:r>
          </w:p>
        </w:tc>
        <w:tc>
          <w:tcPr>
            <w:tcW w:w="3398" w:type="dxa"/>
            <w:tcBorders>
              <w:tl2br w:val="nil"/>
              <w:tr2bl w:val="nil"/>
            </w:tcBorders>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脱水机</w:t>
            </w:r>
          </w:p>
        </w:tc>
        <w:tc>
          <w:tcPr>
            <w:tcW w:w="22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w:t>
            </w:r>
          </w:p>
        </w:tc>
      </w:tr>
    </w:tbl>
    <w:p>
      <w:pPr>
        <w:keepNext w:val="0"/>
        <w:keepLines w:val="0"/>
        <w:widowControl/>
        <w:suppressLineNumbers w:val="0"/>
        <w:ind w:left="0" w:leftChars="0" w:firstLine="0" w:firstLineChars="0"/>
        <w:jc w:val="left"/>
        <w:outlineLvl w:val="2"/>
        <w:rPr>
          <w:rFonts w:hint="eastAsia" w:ascii="宋体" w:hAnsi="宋体" w:eastAsia="宋体" w:cs="宋体"/>
          <w:b/>
          <w:bCs/>
          <w:color w:val="auto"/>
          <w:kern w:val="0"/>
          <w:sz w:val="28"/>
          <w:szCs w:val="28"/>
          <w:highlight w:val="none"/>
          <w:lang w:val="en-US" w:eastAsia="zh-CN" w:bidi="ar"/>
        </w:rPr>
      </w:pPr>
      <w:bookmarkStart w:id="176" w:name="_bookmark49"/>
      <w:bookmarkEnd w:id="176"/>
      <w:bookmarkStart w:id="177" w:name="_bookmark49"/>
      <w:bookmarkEnd w:id="177"/>
      <w:bookmarkStart w:id="178" w:name="_Toc27111"/>
      <w:r>
        <w:rPr>
          <w:rFonts w:hint="default" w:ascii="Times New Roman" w:hAnsi="Times New Roman" w:eastAsia="宋体" w:cs="Times New Roman"/>
          <w:b/>
          <w:bCs/>
          <w:color w:val="auto"/>
          <w:kern w:val="0"/>
          <w:sz w:val="28"/>
          <w:szCs w:val="28"/>
          <w:highlight w:val="none"/>
          <w:lang w:val="en-US" w:eastAsia="zh-CN" w:bidi="ar"/>
        </w:rPr>
        <w:t xml:space="preserve">3.1.6 </w:t>
      </w:r>
      <w:r>
        <w:rPr>
          <w:rFonts w:hint="eastAsia" w:ascii="宋体" w:hAnsi="宋体" w:eastAsia="宋体" w:cs="宋体"/>
          <w:b/>
          <w:bCs/>
          <w:color w:val="auto"/>
          <w:kern w:val="0"/>
          <w:sz w:val="28"/>
          <w:szCs w:val="28"/>
          <w:highlight w:val="none"/>
          <w:lang w:val="en-US" w:eastAsia="zh-CN" w:bidi="ar"/>
        </w:rPr>
        <w:t>原有公用及辅助工程</w:t>
      </w:r>
      <w:bookmarkEnd w:id="178"/>
      <w:r>
        <w:rPr>
          <w:rFonts w:hint="eastAsia" w:ascii="宋体" w:hAnsi="宋体" w:eastAsia="宋体" w:cs="宋体"/>
          <w:b/>
          <w:bCs/>
          <w:color w:val="auto"/>
          <w:kern w:val="0"/>
          <w:sz w:val="28"/>
          <w:szCs w:val="28"/>
          <w:highlight w:val="none"/>
          <w:lang w:val="en-US" w:eastAsia="zh-CN" w:bidi="ar"/>
        </w:rPr>
        <w:t xml:space="preserve"> </w:t>
      </w:r>
    </w:p>
    <w:p>
      <w:pPr>
        <w:keepNext w:val="0"/>
        <w:keepLines w:val="0"/>
        <w:pageBreakBefore w:val="0"/>
        <w:widowControl/>
        <w:suppressLineNumbers w:val="0"/>
        <w:kinsoku/>
        <w:wordWrap/>
        <w:overflowPunct/>
        <w:topLinePunct w:val="0"/>
        <w:autoSpaceDE w:val="0"/>
        <w:autoSpaceDN w:val="0"/>
        <w:bidi w:val="0"/>
        <w:adjustRightInd/>
        <w:snapToGrid/>
        <w:spacing w:line="500" w:lineRule="exact"/>
        <w:ind w:left="0" w:leftChars="0" w:firstLine="480" w:firstLineChars="200"/>
        <w:jc w:val="both"/>
        <w:textAlignment w:val="auto"/>
        <w:rPr>
          <w:color w:val="auto"/>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 xml:space="preserve">）供排水 </w:t>
      </w:r>
    </w:p>
    <w:p>
      <w:pPr>
        <w:keepNext w:val="0"/>
        <w:keepLines w:val="0"/>
        <w:pageBreakBefore w:val="0"/>
        <w:widowControl/>
        <w:suppressLineNumbers w:val="0"/>
        <w:kinsoku/>
        <w:wordWrap/>
        <w:overflowPunct/>
        <w:topLinePunct w:val="0"/>
        <w:autoSpaceDE w:val="0"/>
        <w:autoSpaceDN w:val="0"/>
        <w:bidi w:val="0"/>
        <w:spacing w:line="500" w:lineRule="exact"/>
        <w:ind w:leftChars="0" w:firstLine="480" w:firstLineChars="200"/>
        <w:jc w:val="both"/>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①给水</w:t>
      </w:r>
    </w:p>
    <w:p>
      <w:pPr>
        <w:pStyle w:val="27"/>
        <w:keepNext w:val="0"/>
        <w:keepLines w:val="0"/>
        <w:pageBreakBefore w:val="0"/>
        <w:kinsoku/>
        <w:wordWrap/>
        <w:overflowPunct/>
        <w:topLinePunct w:val="0"/>
        <w:autoSpaceDE w:val="0"/>
        <w:autoSpaceDN w:val="0"/>
        <w:bidi w:val="0"/>
        <w:spacing w:line="500" w:lineRule="exact"/>
        <w:ind w:leftChars="0" w:firstLine="480" w:firstLineChars="200"/>
        <w:textAlignment w:val="auto"/>
        <w:rPr>
          <w:rFonts w:hint="default" w:eastAsia="宋体"/>
          <w:color w:val="auto"/>
          <w:highlight w:val="none"/>
          <w:lang w:val="en-US" w:eastAsia="zh-CN"/>
        </w:rPr>
      </w:pPr>
      <w:r>
        <w:rPr>
          <w:rFonts w:hint="eastAsia"/>
          <w:color w:val="auto"/>
          <w:highlight w:val="none"/>
          <w:lang w:eastAsia="zh-CN"/>
        </w:rPr>
        <w:t>原有项目年总用水量</w:t>
      </w:r>
      <w:r>
        <w:rPr>
          <w:rFonts w:hint="eastAsia"/>
          <w:color w:val="auto"/>
          <w:highlight w:val="none"/>
          <w:lang w:val="en-US" w:eastAsia="zh-CN"/>
        </w:rPr>
        <w:t>40万t/a(1212t/d),其中，生产用水为36078t/a(1202.6t/d),锅炉新鲜水补水为990t/a（3t/d)，生活用水为2112t/a(6.4t/d)。</w:t>
      </w:r>
    </w:p>
    <w:p>
      <w:pPr>
        <w:keepNext w:val="0"/>
        <w:keepLines w:val="0"/>
        <w:pageBreakBefore w:val="0"/>
        <w:widowControl/>
        <w:suppressLineNumbers w:val="0"/>
        <w:kinsoku/>
        <w:wordWrap/>
        <w:overflowPunct/>
        <w:topLinePunct w:val="0"/>
        <w:autoSpaceDE w:val="0"/>
        <w:autoSpaceDN w:val="0"/>
        <w:bidi w:val="0"/>
        <w:spacing w:line="500" w:lineRule="exact"/>
        <w:ind w:leftChars="0" w:firstLine="480" w:firstLineChars="200"/>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②排水</w:t>
      </w:r>
    </w:p>
    <w:p>
      <w:pPr>
        <w:pStyle w:val="27"/>
        <w:keepNext w:val="0"/>
        <w:keepLines w:val="0"/>
        <w:pageBreakBefore w:val="0"/>
        <w:kinsoku/>
        <w:wordWrap/>
        <w:overflowPunct/>
        <w:topLinePunct w:val="0"/>
        <w:autoSpaceDE w:val="0"/>
        <w:autoSpaceDN w:val="0"/>
        <w:bidi w:val="0"/>
        <w:spacing w:line="500" w:lineRule="exact"/>
        <w:ind w:leftChars="0" w:firstLine="480" w:firstLineChars="200"/>
        <w:textAlignment w:val="auto"/>
        <w:rPr>
          <w:rFonts w:hint="default" w:ascii="Times New Roman" w:hAnsi="Times New Roman" w:cs="Times New Roman"/>
          <w:color w:val="auto"/>
          <w:sz w:val="24"/>
          <w:highlight w:val="none"/>
          <w:lang w:val="en-US"/>
        </w:rPr>
      </w:pPr>
      <w:r>
        <w:rPr>
          <w:rFonts w:hint="eastAsia" w:ascii="Times New Roman" w:hAnsi="Times New Roman" w:cs="Times New Roman"/>
          <w:color w:val="auto"/>
          <w:kern w:val="0"/>
          <w:sz w:val="24"/>
          <w:szCs w:val="24"/>
          <w:highlight w:val="none"/>
          <w:lang w:val="en-US" w:eastAsia="zh-CN" w:bidi="ar"/>
        </w:rPr>
        <w:t>原有项目总排水量约为1160.4t/d，经院内污水处理站处理达标后，通过暗管道排入约14.5km处的东大海泡（政府指定排污泡）。</w:t>
      </w:r>
    </w:p>
    <w:p>
      <w:pPr>
        <w:keepNext w:val="0"/>
        <w:keepLines w:val="0"/>
        <w:pageBreakBefore w:val="0"/>
        <w:widowControl/>
        <w:numPr>
          <w:ilvl w:val="0"/>
          <w:numId w:val="2"/>
        </w:numPr>
        <w:suppressLineNumbers w:val="0"/>
        <w:kinsoku/>
        <w:wordWrap/>
        <w:overflowPunct/>
        <w:topLinePunct w:val="0"/>
        <w:autoSpaceDE w:val="0"/>
        <w:autoSpaceDN w:val="0"/>
        <w:bidi w:val="0"/>
        <w:spacing w:line="500" w:lineRule="exact"/>
        <w:ind w:leftChars="0"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供热</w:t>
      </w:r>
    </w:p>
    <w:p>
      <w:pPr>
        <w:keepNext w:val="0"/>
        <w:keepLines w:val="0"/>
        <w:pageBreakBefore w:val="0"/>
        <w:widowControl/>
        <w:numPr>
          <w:ilvl w:val="0"/>
          <w:numId w:val="0"/>
        </w:numPr>
        <w:suppressLineNumbers w:val="0"/>
        <w:kinsoku/>
        <w:wordWrap/>
        <w:overflowPunct/>
        <w:topLinePunct w:val="0"/>
        <w:autoSpaceDE w:val="0"/>
        <w:autoSpaceDN w:val="0"/>
        <w:bidi w:val="0"/>
        <w:spacing w:line="500" w:lineRule="exact"/>
        <w:ind w:leftChars="0" w:right="0" w:rightChars="0" w:firstLine="480" w:firstLineChars="200"/>
        <w:jc w:val="left"/>
        <w:textAlignment w:val="auto"/>
        <w:rPr>
          <w:color w:val="auto"/>
          <w:highlight w:val="none"/>
        </w:rPr>
      </w:pPr>
      <w:r>
        <w:rPr>
          <w:rFonts w:hint="eastAsia" w:ascii="宋体" w:hAnsi="宋体" w:cs="宋体"/>
          <w:color w:val="auto"/>
          <w:kern w:val="0"/>
          <w:sz w:val="24"/>
          <w:szCs w:val="24"/>
          <w:highlight w:val="none"/>
          <w:lang w:val="en-US" w:eastAsia="zh-CN" w:bidi="ar"/>
        </w:rPr>
        <w:t>原有项目供热由原有6t/h燃煤锅炉</w:t>
      </w:r>
      <w:r>
        <w:rPr>
          <w:rFonts w:hint="eastAsia" w:hAnsi="宋体" w:cs="宋体"/>
          <w:color w:val="auto"/>
          <w:kern w:val="0"/>
          <w:sz w:val="24"/>
          <w:szCs w:val="24"/>
          <w:highlight w:val="none"/>
          <w:lang w:val="en-US" w:eastAsia="zh-CN" w:bidi="ar"/>
        </w:rPr>
        <w:t>，2012年</w:t>
      </w:r>
      <w:r>
        <w:rPr>
          <w:rFonts w:hint="eastAsia" w:ascii="宋体" w:hAnsi="宋体" w:cs="宋体"/>
          <w:color w:val="auto"/>
          <w:kern w:val="0"/>
          <w:sz w:val="24"/>
          <w:szCs w:val="24"/>
          <w:highlight w:val="none"/>
          <w:lang w:val="en-US" w:eastAsia="zh-CN" w:bidi="ar"/>
        </w:rPr>
        <w:t>改造为6t/h生物质锅炉进行供热。</w:t>
      </w:r>
      <w:r>
        <w:rPr>
          <w:rFonts w:hint="eastAsia" w:ascii="宋体" w:hAnsi="宋体" w:eastAsia="宋体" w:cs="宋体"/>
          <w:color w:val="auto"/>
          <w:kern w:val="0"/>
          <w:sz w:val="24"/>
          <w:szCs w:val="24"/>
          <w:highlight w:val="none"/>
          <w:lang w:val="en-US" w:eastAsia="zh-CN" w:bidi="ar"/>
        </w:rPr>
        <w:t xml:space="preserve"> </w:t>
      </w:r>
    </w:p>
    <w:p>
      <w:pPr>
        <w:keepNext w:val="0"/>
        <w:keepLines w:val="0"/>
        <w:pageBreakBefore w:val="0"/>
        <w:widowControl/>
        <w:suppressLineNumbers w:val="0"/>
        <w:kinsoku/>
        <w:wordWrap/>
        <w:overflowPunct/>
        <w:topLinePunct w:val="0"/>
        <w:autoSpaceDE w:val="0"/>
        <w:autoSpaceDN w:val="0"/>
        <w:bidi w:val="0"/>
        <w:spacing w:line="500" w:lineRule="exact"/>
        <w:ind w:leftChars="0" w:firstLine="480" w:firstLineChars="200"/>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）供电</w:t>
      </w:r>
    </w:p>
    <w:p>
      <w:pPr>
        <w:pStyle w:val="27"/>
        <w:keepNext w:val="0"/>
        <w:keepLines w:val="0"/>
        <w:pageBreakBefore w:val="0"/>
        <w:kinsoku/>
        <w:wordWrap/>
        <w:overflowPunct/>
        <w:topLinePunct w:val="0"/>
        <w:autoSpaceDE w:val="0"/>
        <w:autoSpaceDN w:val="0"/>
        <w:bidi w:val="0"/>
        <w:spacing w:line="500" w:lineRule="exact"/>
        <w:ind w:leftChars="0" w:firstLine="480" w:firstLineChars="200"/>
        <w:textAlignment w:val="auto"/>
        <w:rPr>
          <w:rFonts w:hint="default"/>
          <w:color w:val="auto"/>
          <w:highlight w:val="none"/>
          <w:lang w:val="en-US"/>
        </w:rPr>
      </w:pPr>
      <w:r>
        <w:rPr>
          <w:rFonts w:hint="eastAsia" w:ascii="宋体" w:hAnsi="宋体" w:cs="宋体"/>
          <w:color w:val="auto"/>
          <w:kern w:val="0"/>
          <w:sz w:val="24"/>
          <w:szCs w:val="24"/>
          <w:highlight w:val="none"/>
          <w:lang w:val="en-US" w:eastAsia="zh-CN" w:bidi="ar"/>
        </w:rPr>
        <w:t>原有项目电源引自地区变电所35kV二路馈出线。二路电源同时工作，互为备用。</w:t>
      </w:r>
    </w:p>
    <w:p>
      <w:pPr>
        <w:keepNext w:val="0"/>
        <w:keepLines w:val="0"/>
        <w:widowControl/>
        <w:suppressLineNumbers w:val="0"/>
        <w:ind w:left="0" w:leftChars="0" w:firstLine="0" w:firstLineChars="0"/>
        <w:jc w:val="left"/>
        <w:outlineLvl w:val="2"/>
        <w:rPr>
          <w:color w:val="auto"/>
          <w:highlight w:val="none"/>
        </w:rPr>
      </w:pPr>
      <w:bookmarkStart w:id="179" w:name="_Toc73"/>
      <w:r>
        <w:rPr>
          <w:rFonts w:hint="default" w:ascii="Times New Roman" w:hAnsi="Times New Roman" w:eastAsia="宋体" w:cs="Times New Roman"/>
          <w:b/>
          <w:bCs/>
          <w:color w:val="auto"/>
          <w:kern w:val="0"/>
          <w:sz w:val="28"/>
          <w:szCs w:val="28"/>
          <w:highlight w:val="none"/>
          <w:lang w:val="en-US" w:eastAsia="zh-CN" w:bidi="ar"/>
        </w:rPr>
        <w:t xml:space="preserve">3.1.7 </w:t>
      </w:r>
      <w:r>
        <w:rPr>
          <w:rFonts w:hint="eastAsia" w:ascii="宋体" w:hAnsi="宋体" w:eastAsia="宋体" w:cs="宋体"/>
          <w:b/>
          <w:bCs/>
          <w:color w:val="auto"/>
          <w:kern w:val="0"/>
          <w:sz w:val="28"/>
          <w:szCs w:val="28"/>
          <w:highlight w:val="none"/>
          <w:lang w:val="en-US" w:eastAsia="zh-CN" w:bidi="ar"/>
        </w:rPr>
        <w:t>原有项目生产工艺</w:t>
      </w:r>
      <w:bookmarkEnd w:id="179"/>
      <w:r>
        <w:rPr>
          <w:rFonts w:hint="eastAsia" w:ascii="宋体" w:hAnsi="宋体" w:eastAsia="宋体" w:cs="宋体"/>
          <w:b/>
          <w:bCs/>
          <w:color w:val="auto"/>
          <w:kern w:val="0"/>
          <w:sz w:val="28"/>
          <w:szCs w:val="28"/>
          <w:highlight w:val="none"/>
          <w:lang w:val="en-US" w:eastAsia="zh-CN" w:bidi="ar"/>
        </w:rPr>
        <w:t xml:space="preserve"> </w:t>
      </w:r>
    </w:p>
    <w:p>
      <w:pPr>
        <w:keepNext w:val="0"/>
        <w:keepLines w:val="0"/>
        <w:widowControl/>
        <w:suppressLineNumbers w:val="0"/>
        <w:ind w:left="0" w:leftChars="0" w:firstLine="0" w:firstLineChars="0"/>
        <w:jc w:val="left"/>
        <w:outlineLvl w:val="9"/>
        <w:rPr>
          <w:color w:val="auto"/>
          <w:highlight w:val="none"/>
        </w:rPr>
      </w:pPr>
      <w:r>
        <w:rPr>
          <w:rFonts w:hint="default" w:ascii="Times New Roman" w:hAnsi="Times New Roman" w:eastAsia="宋体" w:cs="Times New Roman"/>
          <w:b/>
          <w:bCs/>
          <w:color w:val="auto"/>
          <w:kern w:val="0"/>
          <w:sz w:val="24"/>
          <w:szCs w:val="24"/>
          <w:highlight w:val="none"/>
          <w:lang w:val="en-US" w:eastAsia="zh-CN" w:bidi="ar"/>
        </w:rPr>
        <w:t xml:space="preserve">3.1.7.1 </w:t>
      </w:r>
      <w:r>
        <w:rPr>
          <w:rFonts w:hint="eastAsia" w:ascii="宋体" w:hAnsi="宋体" w:eastAsia="宋体" w:cs="宋体"/>
          <w:b/>
          <w:bCs/>
          <w:color w:val="auto"/>
          <w:kern w:val="0"/>
          <w:sz w:val="24"/>
          <w:szCs w:val="24"/>
          <w:highlight w:val="none"/>
          <w:lang w:val="en-US" w:eastAsia="zh-CN" w:bidi="ar"/>
        </w:rPr>
        <w:t>原有项目制浆造纸生产工艺</w:t>
      </w:r>
    </w:p>
    <w:p>
      <w:pPr>
        <w:keepNext/>
        <w:keepLines/>
        <w:pageBreakBefore w:val="0"/>
        <w:widowControl w:val="0"/>
        <w:kinsoku/>
        <w:wordWrap/>
        <w:overflowPunct/>
        <w:topLinePunct w:val="0"/>
        <w:autoSpaceDE/>
        <w:autoSpaceDN/>
        <w:bidi w:val="0"/>
        <w:adjustRightInd/>
        <w:snapToGrid/>
        <w:spacing w:before="0" w:after="0" w:line="500" w:lineRule="exact"/>
        <w:ind w:left="0" w:right="0" w:firstLine="480" w:firstLineChars="200"/>
        <w:jc w:val="both"/>
        <w:textAlignment w:val="auto"/>
        <w:outlineLvl w:val="9"/>
        <w:rPr>
          <w:rFonts w:hint="default" w:ascii="Times New Roman" w:hAnsi="Times New Roman" w:eastAsia="宋体" w:cs="Times New Roman"/>
          <w:b w:val="0"/>
          <w:bCs/>
          <w:color w:val="auto"/>
          <w:kern w:val="2"/>
          <w:sz w:val="24"/>
          <w:szCs w:val="20"/>
          <w:highlight w:val="none"/>
          <w:lang w:val="en-US" w:eastAsia="zh-CN" w:bidi="ar-SA"/>
        </w:rPr>
      </w:pPr>
      <w:bookmarkStart w:id="180" w:name="_Toc2122"/>
      <w:r>
        <w:rPr>
          <w:rFonts w:hint="eastAsia" w:ascii="Times New Roman" w:hAnsi="Times New Roman" w:cs="Times New Roman"/>
          <w:b w:val="0"/>
          <w:bCs/>
          <w:color w:val="auto"/>
          <w:kern w:val="2"/>
          <w:sz w:val="24"/>
          <w:szCs w:val="20"/>
          <w:highlight w:val="none"/>
          <w:lang w:val="en-US" w:eastAsia="zh-CN" w:bidi="ar-SA"/>
        </w:rPr>
        <w:t>工艺流程简述：生产生活用纸时，商品木浆、纸边经水利碎浆机处理后，送高浓度除渣器，在经疏解机，双圆盘磨打浆后送至浆池。混合后的纸浆送抄造浆池，然后经流送系统上网，经压榨、干燥、表面施胶、干燥、软压光、卷纸，打包后，入库贮存。</w:t>
      </w:r>
      <w:bookmarkEnd w:id="180"/>
    </w:p>
    <w:p>
      <w:pPr>
        <w:spacing w:line="240" w:lineRule="auto"/>
        <w:rPr>
          <w:rFonts w:hint="eastAsia" w:ascii="Times New Roman" w:hAnsi="Times New Roman" w:eastAsia="宋体" w:cs="Times New Roman"/>
          <w:bCs w:val="0"/>
          <w:color w:val="auto"/>
          <w:kern w:val="2"/>
          <w:szCs w:val="20"/>
          <w:highlight w:val="none"/>
          <w:lang w:val="en-US" w:eastAsia="zh-CN" w:bidi="ar-SA"/>
        </w:rPr>
      </w:pPr>
      <w:r>
        <w:rPr>
          <w:rFonts w:hint="eastAsia" w:ascii="Times New Roman" w:hAnsi="Times New Roman" w:eastAsia="宋体" w:cs="Times New Roman"/>
          <w:bCs w:val="0"/>
          <w:color w:val="auto"/>
          <w:kern w:val="2"/>
          <w:szCs w:val="20"/>
          <w:highlight w:val="none"/>
          <w:lang w:val="en-US" w:eastAsia="zh-CN" w:bidi="ar-SA"/>
        </w:rPr>
        <w:drawing>
          <wp:inline distT="0" distB="0" distL="114300" distR="114300">
            <wp:extent cx="5250180" cy="3406775"/>
            <wp:effectExtent l="0" t="0" r="7620" b="3175"/>
            <wp:docPr id="9" name="图片 9" descr="21ebe25aa636c180a348245f196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1ebe25aa636c180a348245f1966222"/>
                    <pic:cNvPicPr>
                      <a:picLocks noChangeAspect="1"/>
                    </pic:cNvPicPr>
                  </pic:nvPicPr>
                  <pic:blipFill>
                    <a:blip r:embed="rId32"/>
                    <a:stretch>
                      <a:fillRect/>
                    </a:stretch>
                  </pic:blipFill>
                  <pic:spPr>
                    <a:xfrm>
                      <a:off x="0" y="0"/>
                      <a:ext cx="5250180" cy="3406775"/>
                    </a:xfrm>
                    <a:prstGeom prst="rect">
                      <a:avLst/>
                    </a:prstGeom>
                  </pic:spPr>
                </pic:pic>
              </a:graphicData>
            </a:graphic>
          </wp:inline>
        </w:drawing>
      </w:r>
    </w:p>
    <w:p>
      <w:pPr>
        <w:keepNext w:val="0"/>
        <w:keepLines w:val="0"/>
        <w:pageBreakBefore w:val="0"/>
        <w:widowControl/>
        <w:suppressLineNumbers w:val="0"/>
        <w:kinsoku/>
        <w:wordWrap/>
        <w:overflowPunct/>
        <w:topLinePunct w:val="0"/>
        <w:autoSpaceDE w:val="0"/>
        <w:autoSpaceDN w:val="0"/>
        <w:bidi w:val="0"/>
        <w:adjustRightInd/>
        <w:snapToGrid/>
        <w:jc w:val="center"/>
        <w:textAlignment w:val="auto"/>
        <w:rPr>
          <w:rFonts w:hint="eastAsia" w:ascii="Times New Roman" w:hAnsi="Times New Roman" w:eastAsia="宋体" w:cs="Times New Roman"/>
          <w:bCs w:val="0"/>
          <w:color w:val="auto"/>
          <w:kern w:val="2"/>
          <w:szCs w:val="20"/>
          <w:highlight w:val="none"/>
          <w:lang w:val="en-US" w:eastAsia="zh-CN" w:bidi="ar-SA"/>
        </w:rPr>
      </w:pPr>
      <w:r>
        <w:rPr>
          <w:rFonts w:hint="eastAsia" w:ascii="宋体" w:hAnsi="宋体" w:eastAsia="宋体" w:cs="宋体"/>
          <w:b/>
          <w:bCs/>
          <w:color w:val="auto"/>
          <w:kern w:val="0"/>
          <w:sz w:val="24"/>
          <w:szCs w:val="24"/>
          <w:highlight w:val="none"/>
          <w:lang w:val="en-US" w:eastAsia="zh-CN" w:bidi="ar"/>
        </w:rPr>
        <w:t xml:space="preserve">图 </w:t>
      </w:r>
      <w:r>
        <w:rPr>
          <w:rFonts w:hint="default" w:ascii="Times New Roman" w:hAnsi="Times New Roman" w:eastAsia="宋体" w:cs="Times New Roman"/>
          <w:b/>
          <w:bCs/>
          <w:color w:val="auto"/>
          <w:kern w:val="0"/>
          <w:sz w:val="24"/>
          <w:szCs w:val="24"/>
          <w:highlight w:val="none"/>
          <w:lang w:val="en-US" w:eastAsia="zh-CN" w:bidi="ar"/>
        </w:rPr>
        <w:t xml:space="preserve">3.1-2 </w:t>
      </w:r>
      <w:r>
        <w:rPr>
          <w:rFonts w:hint="eastAsia" w:cs="Times New Roman"/>
          <w:b/>
          <w:bCs/>
          <w:color w:val="auto"/>
          <w:kern w:val="0"/>
          <w:sz w:val="24"/>
          <w:szCs w:val="24"/>
          <w:highlight w:val="none"/>
          <w:lang w:val="en-US" w:eastAsia="zh-CN" w:bidi="ar"/>
        </w:rPr>
        <w:t xml:space="preserve">   </w:t>
      </w:r>
      <w:r>
        <w:rPr>
          <w:rFonts w:hint="eastAsia" w:ascii="宋体" w:hAnsi="宋体" w:eastAsia="宋体" w:cs="宋体"/>
          <w:b/>
          <w:bCs/>
          <w:color w:val="auto"/>
          <w:kern w:val="0"/>
          <w:sz w:val="24"/>
          <w:szCs w:val="24"/>
          <w:highlight w:val="none"/>
          <w:lang w:val="en-US" w:eastAsia="zh-CN" w:bidi="ar"/>
        </w:rPr>
        <w:t>现有项目生产工艺流程及产污环节示意图</w:t>
      </w:r>
    </w:p>
    <w:p>
      <w:pPr>
        <w:keepNext w:val="0"/>
        <w:keepLines w:val="0"/>
        <w:widowControl/>
        <w:suppressLineNumbers w:val="0"/>
        <w:jc w:val="both"/>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 xml:space="preserve">3.1.7.2 </w:t>
      </w:r>
      <w:r>
        <w:rPr>
          <w:rFonts w:hint="eastAsia" w:ascii="宋体" w:hAnsi="宋体" w:eastAsia="宋体" w:cs="宋体"/>
          <w:b/>
          <w:bCs/>
          <w:color w:val="auto"/>
          <w:kern w:val="0"/>
          <w:sz w:val="24"/>
          <w:szCs w:val="24"/>
          <w:highlight w:val="none"/>
          <w:lang w:val="en-US" w:eastAsia="zh-CN" w:bidi="ar"/>
        </w:rPr>
        <w:t>污水处理设施处理工艺</w:t>
      </w:r>
    </w:p>
    <w:p>
      <w:pPr>
        <w:pStyle w:val="27"/>
        <w:rPr>
          <w:rFonts w:hint="eastAsia" w:ascii="宋体" w:hAnsi="宋体" w:cs="宋体"/>
          <w:b w:val="0"/>
          <w:bCs w:val="0"/>
          <w:color w:val="auto"/>
          <w:kern w:val="0"/>
          <w:sz w:val="24"/>
          <w:szCs w:val="24"/>
          <w:highlight w:val="none"/>
          <w:lang w:val="en-US" w:eastAsia="zh-CN" w:bidi="ar"/>
        </w:rPr>
      </w:pPr>
      <w:r>
        <w:rPr>
          <w:rFonts w:hint="eastAsia" w:ascii="宋体" w:hAnsi="宋体" w:cs="宋体"/>
          <w:b w:val="0"/>
          <w:bCs w:val="0"/>
          <w:color w:val="auto"/>
          <w:kern w:val="0"/>
          <w:sz w:val="24"/>
          <w:szCs w:val="24"/>
          <w:highlight w:val="none"/>
          <w:lang w:val="en-US" w:eastAsia="zh-CN" w:bidi="ar"/>
        </w:rPr>
        <w:t>废水首先收集到白水回收池中，经过微网过滤后，回收水中的纸纤维，废水进入混凝沉淀池，加入聚丙烯酰胺和聚合氯化铝后，废水进入气浮处理装置，经气浮刮板去除浮渣后，84%的白水用于配浆工序。16%的白水流入生物接触氧化池与生活污水一起经过厂区污水处理厂进行处理达标后，排入东大海。</w:t>
      </w:r>
    </w:p>
    <w:p>
      <w:pPr>
        <w:keepNext w:val="0"/>
        <w:keepLines w:val="0"/>
        <w:pageBreakBefore w:val="0"/>
        <w:widowControl/>
        <w:suppressLineNumbers w:val="0"/>
        <w:kinsoku/>
        <w:wordWrap/>
        <w:overflowPunct/>
        <w:topLinePunct w:val="0"/>
        <w:autoSpaceDE w:val="0"/>
        <w:autoSpaceDN w:val="0"/>
        <w:bidi w:val="0"/>
        <w:adjustRightInd/>
        <w:snapToGrid/>
        <w:spacing w:line="240" w:lineRule="auto"/>
        <w:ind w:left="0" w:leftChars="0" w:firstLine="0" w:firstLineChars="0"/>
        <w:jc w:val="left"/>
        <w:textAlignment w:val="auto"/>
        <w:outlineLvl w:val="9"/>
        <w:rPr>
          <w:rFonts w:hint="default"/>
          <w:color w:val="auto"/>
          <w:highlight w:val="none"/>
          <w:lang w:val="en-US" w:eastAsia="zh-CN"/>
        </w:rPr>
      </w:pPr>
      <w:r>
        <w:rPr>
          <w:rFonts w:hint="default"/>
          <w:color w:val="auto"/>
          <w:highlight w:val="none"/>
          <w:lang w:val="en-US" w:eastAsia="zh-CN"/>
        </w:rPr>
        <w:drawing>
          <wp:inline distT="0" distB="0" distL="114300" distR="114300">
            <wp:extent cx="5259070" cy="1500505"/>
            <wp:effectExtent l="0" t="0" r="17780" b="4445"/>
            <wp:docPr id="16" name="图片 16" descr="0da64f6ca9f3556187eecd2fb1f8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da64f6ca9f3556187eecd2fb1f8ef3"/>
                    <pic:cNvPicPr>
                      <a:picLocks noChangeAspect="1"/>
                    </pic:cNvPicPr>
                  </pic:nvPicPr>
                  <pic:blipFill>
                    <a:blip r:embed="rId33"/>
                    <a:stretch>
                      <a:fillRect/>
                    </a:stretch>
                  </pic:blipFill>
                  <pic:spPr>
                    <a:xfrm>
                      <a:off x="0" y="0"/>
                      <a:ext cx="5259070" cy="1500505"/>
                    </a:xfrm>
                    <a:prstGeom prst="rect">
                      <a:avLst/>
                    </a:prstGeom>
                  </pic:spPr>
                </pic:pic>
              </a:graphicData>
            </a:graphic>
          </wp:inline>
        </w:drawing>
      </w:r>
    </w:p>
    <w:p>
      <w:pPr>
        <w:keepNext w:val="0"/>
        <w:keepLines w:val="0"/>
        <w:pageBreakBefore w:val="0"/>
        <w:widowControl/>
        <w:suppressLineNumbers w:val="0"/>
        <w:kinsoku/>
        <w:wordWrap/>
        <w:overflowPunct/>
        <w:topLinePunct w:val="0"/>
        <w:autoSpaceDE w:val="0"/>
        <w:autoSpaceDN w:val="0"/>
        <w:bidi w:val="0"/>
        <w:adjustRightInd/>
        <w:snapToGrid/>
        <w:ind w:firstLine="482" w:firstLineChars="200"/>
        <w:jc w:val="both"/>
        <w:textAlignment w:val="auto"/>
        <w:rPr>
          <w:color w:val="auto"/>
          <w:highlight w:val="none"/>
        </w:rPr>
      </w:pPr>
      <w:r>
        <w:rPr>
          <w:rFonts w:hint="eastAsia" w:ascii="宋体" w:hAnsi="宋体" w:eastAsia="宋体" w:cs="宋体"/>
          <w:b/>
          <w:bCs/>
          <w:color w:val="auto"/>
          <w:kern w:val="0"/>
          <w:sz w:val="24"/>
          <w:szCs w:val="24"/>
          <w:highlight w:val="none"/>
          <w:lang w:val="en-US" w:eastAsia="zh-CN" w:bidi="ar"/>
        </w:rPr>
        <w:t xml:space="preserve">图 </w:t>
      </w:r>
      <w:r>
        <w:rPr>
          <w:rFonts w:hint="default" w:ascii="Times New Roman" w:hAnsi="Times New Roman" w:eastAsia="宋体" w:cs="Times New Roman"/>
          <w:b/>
          <w:bCs/>
          <w:color w:val="auto"/>
          <w:kern w:val="0"/>
          <w:sz w:val="24"/>
          <w:szCs w:val="24"/>
          <w:highlight w:val="none"/>
          <w:lang w:val="en-US" w:eastAsia="zh-CN" w:bidi="ar"/>
        </w:rPr>
        <w:t>3.1-</w:t>
      </w:r>
      <w:r>
        <w:rPr>
          <w:rFonts w:hint="eastAsia"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 xml:space="preserve"> </w:t>
      </w:r>
      <w:r>
        <w:rPr>
          <w:rFonts w:hint="eastAsia" w:cs="Times New Roman"/>
          <w:b/>
          <w:bCs/>
          <w:color w:val="auto"/>
          <w:kern w:val="0"/>
          <w:sz w:val="24"/>
          <w:szCs w:val="24"/>
          <w:highlight w:val="none"/>
          <w:lang w:val="en-US" w:eastAsia="zh-CN" w:bidi="ar"/>
        </w:rPr>
        <w:t xml:space="preserve">    </w:t>
      </w:r>
      <w:r>
        <w:rPr>
          <w:rFonts w:hint="eastAsia" w:ascii="宋体" w:hAnsi="宋体" w:cs="宋体"/>
          <w:b/>
          <w:bCs/>
          <w:color w:val="auto"/>
          <w:kern w:val="0"/>
          <w:sz w:val="24"/>
          <w:szCs w:val="24"/>
          <w:highlight w:val="none"/>
          <w:lang w:val="en-US" w:eastAsia="zh-CN" w:bidi="ar"/>
        </w:rPr>
        <w:t>污水处理</w:t>
      </w:r>
      <w:r>
        <w:rPr>
          <w:rFonts w:hint="eastAsia" w:ascii="宋体" w:hAnsi="宋体" w:eastAsia="宋体" w:cs="宋体"/>
          <w:b/>
          <w:bCs/>
          <w:color w:val="auto"/>
          <w:kern w:val="0"/>
          <w:sz w:val="24"/>
          <w:szCs w:val="24"/>
          <w:highlight w:val="none"/>
          <w:lang w:val="en-US" w:eastAsia="zh-CN" w:bidi="ar"/>
        </w:rPr>
        <w:t>工艺流程及产污环节示意图</w:t>
      </w:r>
    </w:p>
    <w:p>
      <w:pPr>
        <w:keepNext w:val="0"/>
        <w:keepLines w:val="0"/>
        <w:pageBreakBefore w:val="0"/>
        <w:widowControl/>
        <w:suppressLineNumbers w:val="0"/>
        <w:kinsoku/>
        <w:wordWrap/>
        <w:overflowPunct/>
        <w:topLinePunct w:val="0"/>
        <w:autoSpaceDE w:val="0"/>
        <w:autoSpaceDN w:val="0"/>
        <w:bidi w:val="0"/>
        <w:adjustRightInd/>
        <w:snapToGrid/>
        <w:jc w:val="both"/>
        <w:textAlignment w:val="auto"/>
        <w:rPr>
          <w:rFonts w:hint="eastAsia"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 xml:space="preserve">表 </w:t>
      </w:r>
      <w:r>
        <w:rPr>
          <w:rFonts w:hint="default" w:ascii="Times New Roman" w:hAnsi="Times New Roman" w:eastAsia="宋体" w:cs="Times New Roman"/>
          <w:b/>
          <w:bCs/>
          <w:color w:val="auto"/>
          <w:kern w:val="0"/>
          <w:sz w:val="24"/>
          <w:szCs w:val="24"/>
          <w:highlight w:val="none"/>
          <w:lang w:val="en-US" w:eastAsia="zh-CN" w:bidi="ar"/>
        </w:rPr>
        <w:t xml:space="preserve">3.1.7.1 </w:t>
      </w:r>
      <w:r>
        <w:rPr>
          <w:rFonts w:hint="eastAsia" w:ascii="Times New Roman" w:hAnsi="Times New Roman" w:cs="Times New Roman"/>
          <w:b/>
          <w:bCs/>
          <w:color w:val="auto"/>
          <w:kern w:val="0"/>
          <w:sz w:val="24"/>
          <w:szCs w:val="24"/>
          <w:highlight w:val="none"/>
          <w:lang w:val="en-US" w:eastAsia="zh-CN" w:bidi="ar"/>
        </w:rPr>
        <w:t xml:space="preserve">             </w:t>
      </w:r>
      <w:r>
        <w:rPr>
          <w:rFonts w:hint="eastAsia" w:ascii="Times New Roman" w:hAnsi="Times New Roman" w:eastAsia="宋体" w:cs="Times New Roman"/>
          <w:b/>
          <w:bCs/>
          <w:color w:val="auto"/>
          <w:kern w:val="0"/>
          <w:sz w:val="24"/>
          <w:szCs w:val="24"/>
          <w:highlight w:val="none"/>
          <w:lang w:val="en-US" w:eastAsia="zh-CN" w:bidi="ar"/>
        </w:rPr>
        <w:t>污水处理设施建设情况</w:t>
      </w:r>
    </w:p>
    <w:tbl>
      <w:tblPr>
        <w:tblStyle w:val="24"/>
        <w:tblW w:w="8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1763"/>
        <w:gridCol w:w="1764"/>
        <w:gridCol w:w="1764"/>
        <w:gridCol w:w="1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项目</w:t>
            </w: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构建筑物</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数量</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尺寸</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容积（单座）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763" w:type="dxa"/>
            <w:vMerge w:val="restart"/>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污水处理</w:t>
            </w: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污水池</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3座</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rPr>
              <w:t>Ф</w:t>
            </w:r>
            <w:r>
              <w:rPr>
                <w:rFonts w:hint="eastAsia" w:ascii="Times New Roman" w:hAnsi="Times New Roman" w:eastAsia="宋体" w:cs="Times New Roman"/>
                <w:color w:val="auto"/>
                <w:sz w:val="21"/>
                <w:highlight w:val="none"/>
                <w:vertAlign w:val="baseline"/>
                <w:lang w:val="en-US" w:eastAsia="zh-CN"/>
              </w:rPr>
              <w:t>3×2.5m</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120m</w:t>
            </w:r>
            <w:r>
              <w:rPr>
                <w:rFonts w:hint="eastAsia" w:ascii="Times New Roman" w:hAnsi="Times New Roman" w:eastAsia="宋体" w:cs="Times New Roman"/>
                <w:color w:val="auto"/>
                <w:sz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763"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曝气池</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1座</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2</w:t>
            </w:r>
            <w:r>
              <w:rPr>
                <w:rFonts w:hint="eastAsia" w:cs="Times New Roman"/>
                <w:color w:val="auto"/>
                <w:sz w:val="21"/>
                <w:highlight w:val="none"/>
                <w:vertAlign w:val="baseline"/>
                <w:lang w:val="en-US" w:eastAsia="zh-CN"/>
              </w:rPr>
              <w:t>0.45</w:t>
            </w:r>
            <w:r>
              <w:rPr>
                <w:rFonts w:hint="eastAsia" w:ascii="Times New Roman" w:hAnsi="Times New Roman" w:eastAsia="宋体" w:cs="Times New Roman"/>
                <w:color w:val="auto"/>
                <w:sz w:val="21"/>
                <w:highlight w:val="none"/>
                <w:vertAlign w:val="baseline"/>
                <w:lang w:val="en-US" w:eastAsia="zh-CN"/>
              </w:rPr>
              <w:t>×4×5.5m</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45</w:t>
            </w:r>
            <w:r>
              <w:rPr>
                <w:rFonts w:hint="eastAsia" w:ascii="Times New Roman" w:hAnsi="Times New Roman" w:eastAsia="宋体" w:cs="Times New Roman"/>
                <w:color w:val="auto"/>
                <w:sz w:val="21"/>
                <w:highlight w:val="none"/>
                <w:vertAlign w:val="baseline"/>
                <w:lang w:val="en-US" w:eastAsia="zh-CN"/>
              </w:rPr>
              <w:t>0m</w:t>
            </w:r>
            <w:r>
              <w:rPr>
                <w:rFonts w:hint="eastAsia" w:ascii="Times New Roman" w:hAnsi="Times New Roman" w:eastAsia="宋体" w:cs="Times New Roman"/>
                <w:color w:val="auto"/>
                <w:sz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763"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沉淀池</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2</w:t>
            </w:r>
            <w:r>
              <w:rPr>
                <w:rFonts w:hint="eastAsia" w:ascii="Times New Roman" w:hAnsi="Times New Roman" w:eastAsia="宋体" w:cs="Times New Roman"/>
                <w:color w:val="auto"/>
                <w:sz w:val="21"/>
                <w:highlight w:val="none"/>
                <w:vertAlign w:val="baseline"/>
                <w:lang w:val="en-US" w:eastAsia="zh-CN"/>
              </w:rPr>
              <w:t>座</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6</w:t>
            </w:r>
            <w:r>
              <w:rPr>
                <w:rFonts w:hint="eastAsia" w:ascii="Times New Roman" w:hAnsi="Times New Roman" w:eastAsia="宋体" w:cs="Times New Roman"/>
                <w:color w:val="auto"/>
                <w:sz w:val="21"/>
                <w:highlight w:val="none"/>
                <w:vertAlign w:val="baseline"/>
                <w:lang w:val="en-US" w:eastAsia="zh-CN"/>
              </w:rPr>
              <w:t>×3×2.</w:t>
            </w:r>
            <w:r>
              <w:rPr>
                <w:rFonts w:hint="eastAsia" w:cs="Times New Roman"/>
                <w:color w:val="auto"/>
                <w:sz w:val="21"/>
                <w:highlight w:val="none"/>
                <w:vertAlign w:val="baseline"/>
                <w:lang w:val="en-US" w:eastAsia="zh-CN"/>
              </w:rPr>
              <w:t>7</w:t>
            </w:r>
            <w:r>
              <w:rPr>
                <w:rFonts w:hint="eastAsia" w:ascii="Times New Roman" w:hAnsi="Times New Roman" w:eastAsia="宋体" w:cs="Times New Roman"/>
                <w:color w:val="auto"/>
                <w:sz w:val="21"/>
                <w:highlight w:val="none"/>
                <w:vertAlign w:val="baseline"/>
                <w:lang w:val="en-US" w:eastAsia="zh-CN"/>
              </w:rPr>
              <w:t>m</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50m</w:t>
            </w:r>
            <w:r>
              <w:rPr>
                <w:rFonts w:hint="eastAsia" w:ascii="Times New Roman" w:hAnsi="Times New Roman" w:eastAsia="宋体" w:cs="Times New Roman"/>
                <w:color w:val="auto"/>
                <w:sz w:val="21"/>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763" w:type="dxa"/>
            <w:vMerge w:val="restart"/>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污泥处理</w:t>
            </w: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脱水机</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1台</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ascii="Times New Roman" w:hAnsi="Times New Roman" w:eastAsia="宋体" w:cs="Times New Roman"/>
                <w:color w:val="auto"/>
                <w:sz w:val="21"/>
                <w:highlight w:val="none"/>
                <w:vertAlign w:val="baseline"/>
              </w:rPr>
            </w:pP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ascii="Times New Roman" w:hAnsi="Times New Roman" w:eastAsia="宋体" w:cs="Times New Roman"/>
                <w:color w:val="auto"/>
                <w:sz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763" w:type="dxa"/>
            <w:vMerge w:val="continue"/>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p>
        </w:tc>
        <w:tc>
          <w:tcPr>
            <w:tcW w:w="1763"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eastAsia="zh-CN"/>
              </w:rPr>
            </w:pPr>
            <w:r>
              <w:rPr>
                <w:rFonts w:hint="eastAsia" w:ascii="Times New Roman" w:hAnsi="Times New Roman" w:eastAsia="宋体" w:cs="Times New Roman"/>
                <w:color w:val="auto"/>
                <w:sz w:val="21"/>
                <w:highlight w:val="none"/>
                <w:vertAlign w:val="baseline"/>
                <w:lang w:eastAsia="zh-CN"/>
              </w:rPr>
              <w:t>废渣池</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1座</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6</w:t>
            </w:r>
            <w:r>
              <w:rPr>
                <w:rFonts w:hint="eastAsia" w:ascii="Times New Roman" w:hAnsi="Times New Roman" w:eastAsia="宋体" w:cs="Times New Roman"/>
                <w:color w:val="auto"/>
                <w:sz w:val="21"/>
                <w:highlight w:val="none"/>
                <w:vertAlign w:val="baseline"/>
                <w:lang w:val="en-US" w:eastAsia="zh-CN"/>
              </w:rPr>
              <w:t>×3×2.</w:t>
            </w:r>
            <w:r>
              <w:rPr>
                <w:rFonts w:hint="eastAsia" w:cs="Times New Roman"/>
                <w:color w:val="auto"/>
                <w:sz w:val="21"/>
                <w:highlight w:val="none"/>
                <w:vertAlign w:val="baseline"/>
                <w:lang w:val="en-US" w:eastAsia="zh-CN"/>
              </w:rPr>
              <w:t>7</w:t>
            </w:r>
            <w:r>
              <w:rPr>
                <w:rFonts w:hint="eastAsia" w:ascii="Times New Roman" w:hAnsi="Times New Roman" w:eastAsia="宋体" w:cs="Times New Roman"/>
                <w:color w:val="auto"/>
                <w:sz w:val="21"/>
                <w:highlight w:val="none"/>
                <w:vertAlign w:val="baseline"/>
                <w:lang w:val="en-US" w:eastAsia="zh-CN"/>
              </w:rPr>
              <w:t>m</w:t>
            </w:r>
          </w:p>
        </w:tc>
        <w:tc>
          <w:tcPr>
            <w:tcW w:w="1764" w:type="dxa"/>
            <w:tcBorders>
              <w:tl2br w:val="nil"/>
              <w:tr2bl w:val="nil"/>
            </w:tcBorders>
            <w:vAlign w:val="center"/>
          </w:tcPr>
          <w:p>
            <w:pPr>
              <w:pStyle w:val="27"/>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5</w:t>
            </w:r>
            <w:r>
              <w:rPr>
                <w:rFonts w:hint="eastAsia" w:ascii="Times New Roman" w:hAnsi="Times New Roman" w:eastAsia="宋体" w:cs="Times New Roman"/>
                <w:color w:val="auto"/>
                <w:sz w:val="21"/>
                <w:highlight w:val="none"/>
                <w:vertAlign w:val="baseline"/>
                <w:lang w:val="en-US" w:eastAsia="zh-CN"/>
              </w:rPr>
              <w:t>0m</w:t>
            </w:r>
            <w:r>
              <w:rPr>
                <w:rFonts w:hint="eastAsia" w:ascii="Times New Roman" w:hAnsi="Times New Roman" w:eastAsia="宋体" w:cs="Times New Roman"/>
                <w:color w:val="auto"/>
                <w:sz w:val="21"/>
                <w:highlight w:val="none"/>
                <w:vertAlign w:val="superscript"/>
                <w:lang w:val="en-US" w:eastAsia="zh-CN"/>
              </w:rPr>
              <w:t>3</w:t>
            </w:r>
          </w:p>
        </w:tc>
      </w:tr>
    </w:tbl>
    <w:p>
      <w:pPr>
        <w:keepNext w:val="0"/>
        <w:keepLines w:val="0"/>
        <w:widowControl/>
        <w:suppressLineNumbers w:val="0"/>
        <w:ind w:left="0" w:leftChars="0" w:firstLine="0" w:firstLineChars="0"/>
        <w:jc w:val="left"/>
        <w:outlineLvl w:val="2"/>
        <w:rPr>
          <w:color w:val="auto"/>
          <w:highlight w:val="none"/>
        </w:rPr>
      </w:pPr>
      <w:bookmarkStart w:id="181" w:name="_Toc6115"/>
      <w:r>
        <w:rPr>
          <w:rFonts w:hint="default" w:ascii="Times New Roman" w:hAnsi="Times New Roman" w:eastAsia="宋体" w:cs="Times New Roman"/>
          <w:b/>
          <w:bCs/>
          <w:color w:val="auto"/>
          <w:kern w:val="0"/>
          <w:sz w:val="28"/>
          <w:szCs w:val="28"/>
          <w:highlight w:val="none"/>
          <w:lang w:val="en-US" w:eastAsia="zh-CN" w:bidi="ar"/>
        </w:rPr>
        <w:t xml:space="preserve">3.1.8 </w:t>
      </w:r>
      <w:r>
        <w:rPr>
          <w:rFonts w:hint="eastAsia" w:ascii="宋体" w:hAnsi="宋体" w:eastAsia="宋体" w:cs="宋体"/>
          <w:b/>
          <w:bCs/>
          <w:color w:val="auto"/>
          <w:kern w:val="0"/>
          <w:sz w:val="28"/>
          <w:szCs w:val="28"/>
          <w:highlight w:val="none"/>
          <w:lang w:val="en-US" w:eastAsia="zh-CN" w:bidi="ar"/>
        </w:rPr>
        <w:t>原有项目污染源排放情况分析</w:t>
      </w:r>
      <w:bookmarkEnd w:id="181"/>
      <w:r>
        <w:rPr>
          <w:rFonts w:hint="eastAsia" w:ascii="宋体" w:hAnsi="宋体" w:eastAsia="宋体" w:cs="宋体"/>
          <w:b/>
          <w:bCs/>
          <w:color w:val="auto"/>
          <w:kern w:val="0"/>
          <w:sz w:val="28"/>
          <w:szCs w:val="28"/>
          <w:highlight w:val="none"/>
          <w:lang w:val="en-US" w:eastAsia="zh-CN" w:bidi="ar"/>
        </w:rPr>
        <w:t xml:space="preserve"> </w:t>
      </w:r>
    </w:p>
    <w:p>
      <w:pPr>
        <w:bidi w:val="0"/>
        <w:jc w:val="both"/>
        <w:rPr>
          <w:color w:val="auto"/>
          <w:highlight w:val="none"/>
        </w:rPr>
      </w:pPr>
      <w:r>
        <w:rPr>
          <w:rFonts w:hint="eastAsia"/>
          <w:color w:val="auto"/>
          <w:highlight w:val="none"/>
          <w:lang w:val="en-US" w:eastAsia="zh-CN"/>
        </w:rPr>
        <w:t>大庆市李氏纸业制造有限责任公司</w:t>
      </w:r>
      <w:r>
        <w:rPr>
          <w:rFonts w:hint="eastAsia" w:ascii="宋体" w:hAnsi="宋体" w:eastAsia="宋体" w:cs="宋体"/>
          <w:color w:val="auto"/>
          <w:kern w:val="0"/>
          <w:sz w:val="24"/>
          <w:szCs w:val="24"/>
          <w:highlight w:val="none"/>
          <w:lang w:val="en-US" w:eastAsia="zh-CN" w:bidi="ar"/>
        </w:rPr>
        <w:t>原有项目的</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三废</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排放量以</w:t>
      </w:r>
      <w:r>
        <w:rPr>
          <w:rFonts w:hint="eastAsia"/>
          <w:color w:val="auto"/>
          <w:highlight w:val="none"/>
          <w:lang w:val="en-US" w:eastAsia="zh-CN"/>
        </w:rPr>
        <w:t>《10000吨/年生活用纸建设项目环境影响报告书》</w:t>
      </w:r>
      <w:r>
        <w:rPr>
          <w:rFonts w:hint="eastAsia" w:ascii="宋体" w:hAnsi="宋体" w:eastAsia="宋体" w:cs="宋体"/>
          <w:color w:val="auto"/>
          <w:kern w:val="0"/>
          <w:sz w:val="24"/>
          <w:szCs w:val="24"/>
          <w:highlight w:val="none"/>
          <w:lang w:val="en-US" w:eastAsia="zh-CN" w:bidi="ar"/>
        </w:rPr>
        <w:t>及其环评批复和验收意见为依据。</w:t>
      </w:r>
    </w:p>
    <w:p>
      <w:pPr>
        <w:keepNext w:val="0"/>
        <w:keepLines w:val="0"/>
        <w:pageBreakBefore w:val="0"/>
        <w:widowControl/>
        <w:suppressLineNumbers w:val="0"/>
        <w:kinsoku/>
        <w:wordWrap/>
        <w:overflowPunct/>
        <w:topLinePunct w:val="0"/>
        <w:autoSpaceDE w:val="0"/>
        <w:autoSpaceDN w:val="0"/>
        <w:bidi w:val="0"/>
        <w:adjustRightInd/>
        <w:snapToGrid/>
        <w:ind w:firstLine="0" w:firstLineChars="0"/>
        <w:jc w:val="left"/>
        <w:textAlignment w:val="auto"/>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 xml:space="preserve">3.1.8.1 </w:t>
      </w:r>
      <w:r>
        <w:rPr>
          <w:rFonts w:hint="eastAsia" w:ascii="宋体" w:hAnsi="宋体" w:eastAsia="宋体" w:cs="宋体"/>
          <w:b/>
          <w:bCs/>
          <w:color w:val="auto"/>
          <w:kern w:val="0"/>
          <w:sz w:val="24"/>
          <w:szCs w:val="24"/>
          <w:highlight w:val="none"/>
          <w:lang w:val="en-US" w:eastAsia="zh-CN" w:bidi="ar"/>
        </w:rPr>
        <w:t>废水</w:t>
      </w:r>
    </w:p>
    <w:p>
      <w:pPr>
        <w:keepNext w:val="0"/>
        <w:keepLines w:val="0"/>
        <w:pageBreakBefore w:val="0"/>
        <w:widowControl w:val="0"/>
        <w:kinsoku/>
        <w:wordWrap/>
        <w:overflowPunct/>
        <w:topLinePunct w:val="0"/>
        <w:autoSpaceDE w:val="0"/>
        <w:autoSpaceDN w:val="0"/>
        <w:bidi w:val="0"/>
        <w:adjustRightInd/>
        <w:snapToGrid/>
        <w:spacing w:before="0" w:line="500" w:lineRule="exact"/>
        <w:ind w:left="0" w:firstLine="491"/>
        <w:textAlignment w:val="auto"/>
        <w:rPr>
          <w:rFonts w:hint="eastAsia" w:ascii="宋体" w:hAnsi="宋体" w:eastAsia="宋体" w:cs="宋体"/>
          <w:color w:val="auto"/>
          <w:sz w:val="24"/>
          <w:szCs w:val="24"/>
          <w:highlight w:val="none"/>
          <w:lang w:eastAsia="zh-CN"/>
        </w:rPr>
      </w:pPr>
      <w:r>
        <w:rPr>
          <w:rFonts w:ascii="宋体" w:hAnsi="宋体" w:eastAsia="宋体" w:cs="宋体"/>
          <w:color w:val="auto"/>
          <w:spacing w:val="-7"/>
          <w:sz w:val="24"/>
          <w:szCs w:val="24"/>
          <w:highlight w:val="none"/>
        </w:rPr>
        <w:t>（</w:t>
      </w:r>
      <w:r>
        <w:rPr>
          <w:rFonts w:ascii="Times New Roman" w:hAnsi="Times New Roman" w:eastAsia="Times New Roman" w:cs="Times New Roman"/>
          <w:color w:val="auto"/>
          <w:spacing w:val="-7"/>
          <w:sz w:val="24"/>
          <w:szCs w:val="24"/>
          <w:highlight w:val="none"/>
        </w:rPr>
        <w:t>1</w:t>
      </w:r>
      <w:r>
        <w:rPr>
          <w:rFonts w:ascii="Times New Roman" w:hAnsi="Times New Roman" w:eastAsia="Times New Roman" w:cs="Times New Roman"/>
          <w:color w:val="auto"/>
          <w:spacing w:val="-18"/>
          <w:sz w:val="24"/>
          <w:szCs w:val="24"/>
          <w:highlight w:val="none"/>
        </w:rPr>
        <w:t xml:space="preserve"> </w:t>
      </w:r>
      <w:r>
        <w:rPr>
          <w:rFonts w:ascii="宋体" w:hAnsi="宋体" w:eastAsia="宋体" w:cs="宋体"/>
          <w:color w:val="auto"/>
          <w:spacing w:val="-7"/>
          <w:sz w:val="24"/>
          <w:szCs w:val="24"/>
          <w:highlight w:val="none"/>
        </w:rPr>
        <w:t>）制浆造纸废水</w:t>
      </w:r>
      <w:r>
        <w:rPr>
          <w:rFonts w:hint="eastAsia" w:ascii="宋体" w:hAnsi="宋体" w:cs="宋体"/>
          <w:color w:val="auto"/>
          <w:spacing w:val="-7"/>
          <w:sz w:val="24"/>
          <w:szCs w:val="24"/>
          <w:highlight w:val="none"/>
          <w:lang w:eastAsia="zh-CN"/>
        </w:rPr>
        <w:t>及生活污水</w:t>
      </w:r>
    </w:p>
    <w:p>
      <w:pPr>
        <w:keepNext w:val="0"/>
        <w:keepLines w:val="0"/>
        <w:pageBreakBefore w:val="0"/>
        <w:widowControl w:val="0"/>
        <w:kinsoku/>
        <w:wordWrap/>
        <w:overflowPunct/>
        <w:topLinePunct w:val="0"/>
        <w:autoSpaceDE w:val="0"/>
        <w:autoSpaceDN w:val="0"/>
        <w:bidi w:val="0"/>
        <w:adjustRightInd/>
        <w:snapToGrid/>
        <w:spacing w:before="0" w:line="500" w:lineRule="exact"/>
        <w:ind w:left="0" w:firstLine="513"/>
        <w:textAlignment w:val="auto"/>
        <w:rPr>
          <w:rFonts w:ascii="宋体" w:hAnsi="宋体" w:eastAsia="宋体" w:cs="宋体"/>
          <w:color w:val="auto"/>
          <w:sz w:val="24"/>
          <w:szCs w:val="24"/>
          <w:highlight w:val="none"/>
        </w:rPr>
      </w:pPr>
      <w:r>
        <w:rPr>
          <w:rFonts w:hint="eastAsia" w:ascii="宋体" w:hAnsi="宋体" w:cs="宋体"/>
          <w:color w:val="auto"/>
          <w:spacing w:val="5"/>
          <w:sz w:val="24"/>
          <w:szCs w:val="24"/>
          <w:highlight w:val="none"/>
          <w:lang w:eastAsia="zh-CN"/>
        </w:rPr>
        <w:t>原有</w:t>
      </w:r>
      <w:r>
        <w:rPr>
          <w:rFonts w:ascii="宋体" w:hAnsi="宋体" w:eastAsia="宋体" w:cs="宋体"/>
          <w:color w:val="auto"/>
          <w:spacing w:val="5"/>
          <w:sz w:val="24"/>
          <w:szCs w:val="24"/>
          <w:highlight w:val="none"/>
        </w:rPr>
        <w:t>项目外排废水</w:t>
      </w:r>
      <w:r>
        <w:rPr>
          <w:rFonts w:hint="eastAsia" w:ascii="宋体" w:hAnsi="宋体" w:eastAsia="宋体" w:cs="宋体"/>
          <w:color w:val="auto"/>
          <w:spacing w:val="5"/>
          <w:sz w:val="24"/>
          <w:szCs w:val="24"/>
          <w:highlight w:val="none"/>
          <w:lang w:eastAsia="zh-CN"/>
        </w:rPr>
        <w:t>主要为生产废水</w:t>
      </w:r>
      <w:r>
        <w:rPr>
          <w:rFonts w:hint="eastAsia" w:ascii="宋体" w:hAnsi="宋体" w:cs="宋体"/>
          <w:color w:val="auto"/>
          <w:spacing w:val="5"/>
          <w:sz w:val="24"/>
          <w:szCs w:val="24"/>
          <w:highlight w:val="none"/>
          <w:lang w:eastAsia="zh-CN"/>
        </w:rPr>
        <w:t>、锅炉排污水（除尘废水循环利用不外排，不计入总排水量）</w:t>
      </w:r>
      <w:r>
        <w:rPr>
          <w:rFonts w:hint="eastAsia" w:ascii="宋体" w:hAnsi="宋体" w:eastAsia="宋体" w:cs="宋体"/>
          <w:color w:val="auto"/>
          <w:spacing w:val="5"/>
          <w:sz w:val="24"/>
          <w:szCs w:val="24"/>
          <w:highlight w:val="none"/>
          <w:lang w:eastAsia="zh-CN"/>
        </w:rPr>
        <w:t>及生活污水</w:t>
      </w:r>
      <w:r>
        <w:rPr>
          <w:rFonts w:ascii="宋体" w:hAnsi="宋体" w:eastAsia="宋体" w:cs="宋体"/>
          <w:color w:val="auto"/>
          <w:spacing w:val="5"/>
          <w:sz w:val="24"/>
          <w:szCs w:val="24"/>
          <w:highlight w:val="none"/>
        </w:rPr>
        <w:t>，排放量</w:t>
      </w:r>
      <w:r>
        <w:rPr>
          <w:rFonts w:hint="eastAsia" w:ascii="Times New Roman" w:hAnsi="Times New Roman" w:eastAsia="宋体" w:cs="Times New Roman"/>
          <w:color w:val="auto"/>
          <w:spacing w:val="5"/>
          <w:sz w:val="24"/>
          <w:szCs w:val="24"/>
          <w:highlight w:val="none"/>
          <w:lang w:val="en-US" w:eastAsia="zh-CN"/>
        </w:rPr>
        <w:t>1160.</w:t>
      </w:r>
      <w:r>
        <w:rPr>
          <w:rFonts w:hint="eastAsia" w:cs="Times New Roman"/>
          <w:color w:val="auto"/>
          <w:spacing w:val="5"/>
          <w:sz w:val="24"/>
          <w:szCs w:val="24"/>
          <w:highlight w:val="none"/>
          <w:lang w:val="en-US" w:eastAsia="zh-CN"/>
        </w:rPr>
        <w:t>4</w:t>
      </w:r>
      <w:r>
        <w:rPr>
          <w:rFonts w:ascii="Times New Roman" w:hAnsi="Times New Roman" w:eastAsia="Times New Roman" w:cs="Times New Roman"/>
          <w:color w:val="auto"/>
          <w:spacing w:val="5"/>
          <w:sz w:val="24"/>
          <w:szCs w:val="24"/>
          <w:highlight w:val="none"/>
        </w:rPr>
        <w:t>t/d</w:t>
      </w:r>
      <w:r>
        <w:rPr>
          <w:rFonts w:ascii="Times New Roman" w:hAnsi="Times New Roman" w:eastAsia="Times New Roman" w:cs="Times New Roman"/>
          <w:color w:val="auto"/>
          <w:spacing w:val="-24"/>
          <w:sz w:val="24"/>
          <w:szCs w:val="24"/>
          <w:highlight w:val="none"/>
        </w:rPr>
        <w:t xml:space="preserve"> </w:t>
      </w:r>
      <w:r>
        <w:rPr>
          <w:rFonts w:ascii="宋体" w:hAnsi="宋体" w:eastAsia="宋体" w:cs="宋体"/>
          <w:color w:val="auto"/>
          <w:spacing w:val="5"/>
          <w:sz w:val="24"/>
          <w:szCs w:val="24"/>
          <w:highlight w:val="none"/>
        </w:rPr>
        <w:t>、</w:t>
      </w:r>
      <w:r>
        <w:rPr>
          <w:rFonts w:hint="eastAsia" w:ascii="宋体" w:hAnsi="宋体" w:eastAsia="宋体" w:cs="宋体"/>
          <w:color w:val="auto"/>
          <w:sz w:val="24"/>
          <w:szCs w:val="24"/>
          <w:highlight w:val="none"/>
          <w:lang w:val="en-US" w:eastAsia="zh-CN"/>
        </w:rPr>
        <w:t>3829</w:t>
      </w:r>
      <w:r>
        <w:rPr>
          <w:rFonts w:hint="eastAsia" w:ascii="宋体" w:hAnsi="宋体" w:cs="宋体"/>
          <w:color w:val="auto"/>
          <w:sz w:val="24"/>
          <w:szCs w:val="24"/>
          <w:highlight w:val="none"/>
          <w:lang w:val="en-US" w:eastAsia="zh-CN"/>
        </w:rPr>
        <w:t>30</w:t>
      </w:r>
      <w:r>
        <w:rPr>
          <w:rFonts w:ascii="Times New Roman" w:hAnsi="Times New Roman" w:eastAsia="Times New Roman" w:cs="Times New Roman"/>
          <w:color w:val="auto"/>
          <w:spacing w:val="-5"/>
          <w:sz w:val="24"/>
          <w:szCs w:val="24"/>
          <w:highlight w:val="none"/>
        </w:rPr>
        <w:t>t/a</w:t>
      </w:r>
      <w:r>
        <w:rPr>
          <w:rFonts w:ascii="宋体" w:hAnsi="宋体" w:eastAsia="宋体" w:cs="宋体"/>
          <w:color w:val="auto"/>
          <w:spacing w:val="-5"/>
          <w:sz w:val="24"/>
          <w:szCs w:val="24"/>
          <w:highlight w:val="none"/>
        </w:rPr>
        <w:t>，执行标准为《制浆造纸工业水污染物排放标准》（</w:t>
      </w:r>
      <w:r>
        <w:rPr>
          <w:rFonts w:ascii="Times New Roman" w:hAnsi="Times New Roman" w:eastAsia="Times New Roman" w:cs="Times New Roman"/>
          <w:color w:val="auto"/>
          <w:spacing w:val="-5"/>
          <w:sz w:val="24"/>
          <w:szCs w:val="24"/>
          <w:highlight w:val="none"/>
        </w:rPr>
        <w:t>GB3544-2001</w:t>
      </w:r>
      <w:r>
        <w:rPr>
          <w:rFonts w:ascii="Times New Roman" w:hAnsi="Times New Roman" w:eastAsia="Times New Roman" w:cs="Times New Roman"/>
          <w:color w:val="auto"/>
          <w:spacing w:val="-25"/>
          <w:sz w:val="24"/>
          <w:szCs w:val="24"/>
          <w:highlight w:val="none"/>
        </w:rPr>
        <w:t xml:space="preserve"> </w:t>
      </w:r>
      <w:r>
        <w:rPr>
          <w:rFonts w:ascii="宋体" w:hAnsi="宋体" w:eastAsia="宋体" w:cs="宋体"/>
          <w:color w:val="auto"/>
          <w:spacing w:val="-5"/>
          <w:sz w:val="24"/>
          <w:szCs w:val="24"/>
          <w:highlight w:val="none"/>
        </w:rPr>
        <w:t>）表</w:t>
      </w:r>
      <w:r>
        <w:rPr>
          <w:rFonts w:ascii="宋体" w:hAnsi="宋体" w:eastAsia="宋体" w:cs="宋体"/>
          <w:color w:val="auto"/>
          <w:spacing w:val="-21"/>
          <w:sz w:val="24"/>
          <w:szCs w:val="24"/>
          <w:highlight w:val="none"/>
        </w:rPr>
        <w:t xml:space="preserve"> </w:t>
      </w:r>
      <w:r>
        <w:rPr>
          <w:rFonts w:ascii="Times New Roman" w:hAnsi="Times New Roman" w:eastAsia="Times New Roman" w:cs="Times New Roman"/>
          <w:color w:val="auto"/>
          <w:spacing w:val="-5"/>
          <w:sz w:val="24"/>
          <w:szCs w:val="24"/>
          <w:highlight w:val="none"/>
        </w:rPr>
        <w:t>1</w:t>
      </w:r>
      <w:r>
        <w:rPr>
          <w:rFonts w:ascii="Times New Roman" w:hAnsi="Times New Roman" w:eastAsia="Times New Roman" w:cs="Times New Roman"/>
          <w:color w:val="auto"/>
          <w:spacing w:val="11"/>
          <w:sz w:val="24"/>
          <w:szCs w:val="24"/>
          <w:highlight w:val="none"/>
        </w:rPr>
        <w:t xml:space="preserve"> </w:t>
      </w:r>
      <w:r>
        <w:rPr>
          <w:rFonts w:ascii="宋体" w:hAnsi="宋体" w:eastAsia="宋体" w:cs="宋体"/>
          <w:color w:val="auto"/>
          <w:spacing w:val="-5"/>
          <w:sz w:val="24"/>
          <w:szCs w:val="24"/>
          <w:highlight w:val="none"/>
        </w:rPr>
        <w:t>标准；</w:t>
      </w:r>
    </w:p>
    <w:p>
      <w:pPr>
        <w:keepNext w:val="0"/>
        <w:keepLines w:val="0"/>
        <w:pageBreakBefore w:val="0"/>
        <w:widowControl/>
        <w:suppressLineNumbers w:val="0"/>
        <w:kinsoku/>
        <w:wordWrap/>
        <w:overflowPunct/>
        <w:topLinePunct w:val="0"/>
        <w:autoSpaceDE w:val="0"/>
        <w:autoSpaceDN w:val="0"/>
        <w:bidi w:val="0"/>
        <w:adjustRightInd/>
        <w:snapToGrid/>
        <w:spacing w:before="0" w:line="500" w:lineRule="exact"/>
        <w:ind w:leftChars="0" w:firstLine="0" w:firstLineChars="0"/>
        <w:jc w:val="left"/>
        <w:textAlignment w:val="auto"/>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 xml:space="preserve">3.1.8.2 </w:t>
      </w:r>
      <w:r>
        <w:rPr>
          <w:rFonts w:hint="eastAsia" w:ascii="宋体" w:hAnsi="宋体" w:eastAsia="宋体" w:cs="宋体"/>
          <w:b/>
          <w:bCs/>
          <w:color w:val="auto"/>
          <w:kern w:val="0"/>
          <w:sz w:val="24"/>
          <w:szCs w:val="24"/>
          <w:highlight w:val="none"/>
          <w:lang w:val="en-US" w:eastAsia="zh-CN" w:bidi="ar"/>
        </w:rPr>
        <w:t>废气</w:t>
      </w:r>
    </w:p>
    <w:p>
      <w:pPr>
        <w:pStyle w:val="27"/>
        <w:keepNext w:val="0"/>
        <w:keepLines w:val="0"/>
        <w:pageBreakBefore w:val="0"/>
        <w:kinsoku/>
        <w:wordWrap/>
        <w:overflowPunct/>
        <w:topLinePunct w:val="0"/>
        <w:autoSpaceDE w:val="0"/>
        <w:autoSpaceDN w:val="0"/>
        <w:bidi w:val="0"/>
        <w:spacing w:before="0" w:line="500" w:lineRule="exact"/>
        <w:ind w:leftChars="0"/>
        <w:textAlignment w:val="auto"/>
        <w:rPr>
          <w:rFonts w:hint="eastAsia" w:ascii="宋体" w:hAnsi="宋体" w:eastAsia="宋体" w:cs="宋体"/>
          <w:color w:val="auto"/>
          <w:spacing w:val="-3"/>
          <w:sz w:val="24"/>
          <w:szCs w:val="24"/>
          <w:highlight w:val="none"/>
          <w:lang w:eastAsia="zh-CN"/>
        </w:rPr>
      </w:pP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lang w:val="en-US" w:eastAsia="zh-CN"/>
        </w:rPr>
        <w:t>1</w:t>
      </w:r>
      <w:r>
        <w:rPr>
          <w:rFonts w:hint="eastAsia" w:ascii="宋体" w:hAnsi="宋体" w:eastAsia="宋体" w:cs="宋体"/>
          <w:color w:val="auto"/>
          <w:spacing w:val="-3"/>
          <w:sz w:val="24"/>
          <w:szCs w:val="24"/>
          <w:highlight w:val="none"/>
          <w:lang w:eastAsia="zh-CN"/>
        </w:rPr>
        <w:t>）锅炉废气</w:t>
      </w:r>
    </w:p>
    <w:p>
      <w:pPr>
        <w:pStyle w:val="27"/>
        <w:keepNext w:val="0"/>
        <w:keepLines w:val="0"/>
        <w:pageBreakBefore w:val="0"/>
        <w:kinsoku/>
        <w:wordWrap/>
        <w:overflowPunct/>
        <w:topLinePunct w:val="0"/>
        <w:autoSpaceDE w:val="0"/>
        <w:autoSpaceDN w:val="0"/>
        <w:bidi w:val="0"/>
        <w:spacing w:before="0" w:line="500" w:lineRule="exact"/>
        <w:ind w:leftChars="0"/>
        <w:textAlignment w:val="auto"/>
        <w:rPr>
          <w:rFonts w:ascii="宋体" w:hAnsi="宋体" w:eastAsia="宋体" w:cs="宋体"/>
          <w:color w:val="auto"/>
          <w:spacing w:val="-3"/>
          <w:sz w:val="24"/>
          <w:szCs w:val="24"/>
          <w:highlight w:val="none"/>
        </w:rPr>
      </w:pPr>
      <w:r>
        <w:rPr>
          <w:rFonts w:hint="eastAsia" w:ascii="宋体" w:hAnsi="宋体" w:cs="宋体"/>
          <w:color w:val="auto"/>
          <w:spacing w:val="-3"/>
          <w:sz w:val="24"/>
          <w:szCs w:val="24"/>
          <w:highlight w:val="none"/>
          <w:lang w:eastAsia="zh-CN"/>
        </w:rPr>
        <w:t>原有</w:t>
      </w:r>
      <w:r>
        <w:rPr>
          <w:rFonts w:ascii="宋体" w:hAnsi="宋体" w:eastAsia="宋体" w:cs="宋体"/>
          <w:color w:val="auto"/>
          <w:spacing w:val="-3"/>
          <w:sz w:val="24"/>
          <w:szCs w:val="24"/>
          <w:highlight w:val="none"/>
        </w:rPr>
        <w:t>项目建有一台</w:t>
      </w:r>
      <w:r>
        <w:rPr>
          <w:rFonts w:ascii="宋体" w:hAnsi="宋体" w:eastAsia="宋体" w:cs="宋体"/>
          <w:color w:val="auto"/>
          <w:spacing w:val="-44"/>
          <w:sz w:val="24"/>
          <w:szCs w:val="24"/>
          <w:highlight w:val="none"/>
        </w:rPr>
        <w:t xml:space="preserve"> </w:t>
      </w:r>
      <w:r>
        <w:rPr>
          <w:rFonts w:hint="eastAsia" w:ascii="Times New Roman" w:hAnsi="Times New Roman" w:eastAsia="宋体" w:cs="Times New Roman"/>
          <w:color w:val="auto"/>
          <w:spacing w:val="-3"/>
          <w:sz w:val="24"/>
          <w:szCs w:val="24"/>
          <w:highlight w:val="none"/>
          <w:lang w:val="en-US" w:eastAsia="zh-CN"/>
        </w:rPr>
        <w:t>6</w:t>
      </w:r>
      <w:r>
        <w:rPr>
          <w:rFonts w:ascii="Times New Roman" w:hAnsi="Times New Roman" w:eastAsia="Times New Roman" w:cs="Times New Roman"/>
          <w:color w:val="auto"/>
          <w:spacing w:val="-3"/>
          <w:sz w:val="24"/>
          <w:szCs w:val="24"/>
          <w:highlight w:val="none"/>
        </w:rPr>
        <w:t>t/h</w:t>
      </w:r>
      <w:r>
        <w:rPr>
          <w:rFonts w:ascii="Times New Roman" w:hAnsi="Times New Roman" w:eastAsia="Times New Roman" w:cs="Times New Roman"/>
          <w:color w:val="auto"/>
          <w:spacing w:val="9"/>
          <w:sz w:val="24"/>
          <w:szCs w:val="24"/>
          <w:highlight w:val="none"/>
        </w:rPr>
        <w:t xml:space="preserve"> </w:t>
      </w:r>
      <w:r>
        <w:rPr>
          <w:rFonts w:ascii="宋体" w:hAnsi="宋体" w:eastAsia="宋体" w:cs="宋体"/>
          <w:color w:val="auto"/>
          <w:spacing w:val="-3"/>
          <w:sz w:val="24"/>
          <w:szCs w:val="24"/>
          <w:highlight w:val="none"/>
        </w:rPr>
        <w:t>燃煤锅炉，日运行时间</w:t>
      </w:r>
      <w:r>
        <w:rPr>
          <w:rFonts w:ascii="宋体" w:hAnsi="宋体" w:eastAsia="宋体" w:cs="宋体"/>
          <w:color w:val="auto"/>
          <w:spacing w:val="-55"/>
          <w:sz w:val="24"/>
          <w:szCs w:val="24"/>
          <w:highlight w:val="none"/>
        </w:rPr>
        <w:t xml:space="preserve"> </w:t>
      </w:r>
      <w:r>
        <w:rPr>
          <w:rFonts w:ascii="Times New Roman" w:hAnsi="Times New Roman" w:eastAsia="Times New Roman" w:cs="Times New Roman"/>
          <w:color w:val="auto"/>
          <w:spacing w:val="-3"/>
          <w:sz w:val="24"/>
          <w:szCs w:val="24"/>
          <w:highlight w:val="none"/>
        </w:rPr>
        <w:t>24h</w:t>
      </w:r>
      <w:r>
        <w:rPr>
          <w:rFonts w:ascii="Times New Roman" w:hAnsi="Times New Roman" w:eastAsia="Times New Roman" w:cs="Times New Roman"/>
          <w:color w:val="auto"/>
          <w:spacing w:val="-34"/>
          <w:sz w:val="24"/>
          <w:szCs w:val="24"/>
          <w:highlight w:val="none"/>
        </w:rPr>
        <w:t xml:space="preserve"> </w:t>
      </w:r>
      <w:r>
        <w:rPr>
          <w:rFonts w:ascii="宋体" w:hAnsi="宋体" w:eastAsia="宋体" w:cs="宋体"/>
          <w:color w:val="auto"/>
          <w:spacing w:val="-3"/>
          <w:sz w:val="24"/>
          <w:szCs w:val="24"/>
          <w:highlight w:val="none"/>
        </w:rPr>
        <w:t>，耗煤量</w:t>
      </w:r>
      <w:r>
        <w:rPr>
          <w:rFonts w:hint="eastAsia" w:ascii="宋体" w:hAnsi="宋体" w:eastAsia="宋体" w:cs="宋体"/>
          <w:color w:val="auto"/>
          <w:spacing w:val="-3"/>
          <w:sz w:val="24"/>
          <w:szCs w:val="24"/>
          <w:highlight w:val="none"/>
          <w:lang w:val="en-US" w:eastAsia="zh-CN"/>
        </w:rPr>
        <w:t>15.2t/d</w:t>
      </w:r>
      <w:r>
        <w:rPr>
          <w:rFonts w:ascii="宋体" w:hAnsi="宋体" w:eastAsia="宋体" w:cs="宋体"/>
          <w:color w:val="auto"/>
          <w:spacing w:val="-3"/>
          <w:sz w:val="24"/>
          <w:szCs w:val="24"/>
          <w:highlight w:val="none"/>
        </w:rPr>
        <w:t>，</w:t>
      </w:r>
      <w:r>
        <w:rPr>
          <w:rFonts w:hint="eastAsia" w:hAnsi="宋体" w:cs="宋体"/>
          <w:color w:val="auto"/>
          <w:spacing w:val="-3"/>
          <w:sz w:val="24"/>
          <w:szCs w:val="24"/>
          <w:highlight w:val="none"/>
          <w:lang w:val="en-US" w:eastAsia="zh-CN"/>
        </w:rPr>
        <w:t>5000</w:t>
      </w:r>
      <w:r>
        <w:rPr>
          <w:rFonts w:ascii="Times New Roman" w:hAnsi="Times New Roman" w:eastAsia="Times New Roman" w:cs="Times New Roman"/>
          <w:color w:val="auto"/>
          <w:spacing w:val="-3"/>
          <w:sz w:val="24"/>
          <w:szCs w:val="24"/>
          <w:highlight w:val="none"/>
        </w:rPr>
        <w:t>t/</w:t>
      </w:r>
      <w:r>
        <w:rPr>
          <w:rFonts w:hint="eastAsia" w:eastAsia="宋体" w:cs="Times New Roman"/>
          <w:color w:val="auto"/>
          <w:spacing w:val="-3"/>
          <w:sz w:val="24"/>
          <w:szCs w:val="24"/>
          <w:highlight w:val="none"/>
          <w:lang w:val="en-US" w:eastAsia="zh-CN"/>
        </w:rPr>
        <w:t>a,</w:t>
      </w:r>
      <w:r>
        <w:rPr>
          <w:rFonts w:ascii="宋体" w:hAnsi="宋体" w:eastAsia="宋体" w:cs="宋体"/>
          <w:color w:val="auto"/>
          <w:spacing w:val="-6"/>
          <w:sz w:val="24"/>
          <w:szCs w:val="24"/>
          <w:highlight w:val="none"/>
        </w:rPr>
        <w:t>燃煤锅炉烟气中主要污染物为</w:t>
      </w:r>
      <w:r>
        <w:rPr>
          <w:rFonts w:ascii="宋体" w:hAnsi="宋体" w:eastAsia="宋体" w:cs="宋体"/>
          <w:color w:val="auto"/>
          <w:spacing w:val="-39"/>
          <w:sz w:val="24"/>
          <w:szCs w:val="24"/>
          <w:highlight w:val="none"/>
        </w:rPr>
        <w:t xml:space="preserve"> </w:t>
      </w:r>
      <w:r>
        <w:rPr>
          <w:rFonts w:ascii="Times New Roman" w:hAnsi="Times New Roman" w:eastAsia="Times New Roman" w:cs="Times New Roman"/>
          <w:color w:val="auto"/>
          <w:spacing w:val="-6"/>
          <w:sz w:val="24"/>
          <w:szCs w:val="24"/>
          <w:highlight w:val="none"/>
        </w:rPr>
        <w:t>SO</w:t>
      </w:r>
      <w:r>
        <w:rPr>
          <w:rFonts w:ascii="Times New Roman" w:hAnsi="Times New Roman" w:eastAsia="Times New Roman" w:cs="Times New Roman"/>
          <w:color w:val="auto"/>
          <w:spacing w:val="-6"/>
          <w:position w:val="-3"/>
          <w:sz w:val="16"/>
          <w:szCs w:val="16"/>
          <w:highlight w:val="none"/>
        </w:rPr>
        <w:t>2</w:t>
      </w:r>
      <w:r>
        <w:rPr>
          <w:rFonts w:ascii="宋体" w:hAnsi="宋体" w:eastAsia="宋体" w:cs="宋体"/>
          <w:color w:val="auto"/>
          <w:spacing w:val="-6"/>
          <w:sz w:val="24"/>
          <w:szCs w:val="24"/>
          <w:highlight w:val="none"/>
        </w:rPr>
        <w:t>、</w:t>
      </w:r>
      <w:r>
        <w:rPr>
          <w:rFonts w:ascii="Times New Roman" w:hAnsi="Times New Roman" w:eastAsia="Times New Roman" w:cs="Times New Roman"/>
          <w:color w:val="auto"/>
          <w:spacing w:val="-6"/>
          <w:sz w:val="24"/>
          <w:szCs w:val="24"/>
          <w:highlight w:val="none"/>
        </w:rPr>
        <w:t>NO</w:t>
      </w:r>
      <w:r>
        <w:rPr>
          <w:rFonts w:ascii="Times New Roman" w:hAnsi="Times New Roman" w:eastAsia="Times New Roman" w:cs="Times New Roman"/>
          <w:color w:val="auto"/>
          <w:spacing w:val="-6"/>
          <w:position w:val="-3"/>
          <w:sz w:val="16"/>
          <w:szCs w:val="16"/>
          <w:highlight w:val="none"/>
        </w:rPr>
        <w:t>X</w:t>
      </w:r>
      <w:r>
        <w:rPr>
          <w:rFonts w:ascii="Times New Roman" w:hAnsi="Times New Roman" w:eastAsia="Times New Roman" w:cs="Times New Roman"/>
          <w:color w:val="auto"/>
          <w:spacing w:val="10"/>
          <w:position w:val="-3"/>
          <w:sz w:val="16"/>
          <w:szCs w:val="16"/>
          <w:highlight w:val="none"/>
        </w:rPr>
        <w:t xml:space="preserve"> </w:t>
      </w:r>
      <w:r>
        <w:rPr>
          <w:rFonts w:ascii="宋体" w:hAnsi="宋体" w:eastAsia="宋体" w:cs="宋体"/>
          <w:color w:val="auto"/>
          <w:spacing w:val="-6"/>
          <w:sz w:val="24"/>
          <w:szCs w:val="24"/>
          <w:highlight w:val="none"/>
        </w:rPr>
        <w:t>和颗粒物，配备水膜除尘设施处理</w:t>
      </w:r>
      <w:r>
        <w:rPr>
          <w:rFonts w:hint="eastAsia" w:hAnsi="宋体" w:cs="宋体"/>
          <w:color w:val="auto"/>
          <w:spacing w:val="-6"/>
          <w:sz w:val="24"/>
          <w:szCs w:val="24"/>
          <w:highlight w:val="none"/>
          <w:lang w:val="en-US" w:eastAsia="zh-CN"/>
        </w:rPr>
        <w:t>，根据</w:t>
      </w:r>
      <w:r>
        <w:rPr>
          <w:rFonts w:hint="eastAsia"/>
          <w:color w:val="auto"/>
          <w:highlight w:val="none"/>
          <w:lang w:val="en-US" w:eastAsia="zh-CN"/>
        </w:rPr>
        <w:t>《大庆市李氏纸业制造有限责任公司10000t/a生活用纸建设项目竣工环境保护验收监测报告》，</w:t>
      </w:r>
      <w:r>
        <w:rPr>
          <w:rFonts w:ascii="宋体" w:hAnsi="宋体" w:eastAsia="宋体" w:cs="宋体"/>
          <w:color w:val="auto"/>
          <w:spacing w:val="-3"/>
          <w:sz w:val="24"/>
          <w:szCs w:val="24"/>
          <w:highlight w:val="none"/>
        </w:rPr>
        <w:t>烟尘排放浓度</w:t>
      </w:r>
      <w:r>
        <w:rPr>
          <w:rFonts w:hint="eastAsia" w:hAnsi="宋体" w:cs="宋体"/>
          <w:color w:val="auto"/>
          <w:spacing w:val="-3"/>
          <w:sz w:val="24"/>
          <w:szCs w:val="24"/>
          <w:highlight w:val="none"/>
          <w:lang w:val="en-US" w:eastAsia="zh-CN"/>
        </w:rPr>
        <w:t>147.1-</w:t>
      </w:r>
      <w:r>
        <w:rPr>
          <w:rFonts w:hint="eastAsia" w:ascii="Times New Roman" w:cs="Times New Roman"/>
          <w:color w:val="auto"/>
          <w:spacing w:val="-3"/>
          <w:sz w:val="24"/>
          <w:szCs w:val="24"/>
          <w:highlight w:val="none"/>
          <w:lang w:val="en-US" w:eastAsia="zh-CN"/>
        </w:rPr>
        <w:t>174.1</w:t>
      </w:r>
      <w:r>
        <w:rPr>
          <w:rFonts w:ascii="Times New Roman" w:hAnsi="Times New Roman" w:eastAsia="Times New Roman" w:cs="Times New Roman"/>
          <w:color w:val="auto"/>
          <w:spacing w:val="-3"/>
          <w:sz w:val="24"/>
          <w:szCs w:val="24"/>
          <w:highlight w:val="none"/>
        </w:rPr>
        <w:t>mg/m</w:t>
      </w:r>
      <w:r>
        <w:rPr>
          <w:rFonts w:ascii="Times New Roman" w:hAnsi="Times New Roman" w:eastAsia="Times New Roman" w:cs="Times New Roman"/>
          <w:color w:val="auto"/>
          <w:spacing w:val="-3"/>
          <w:position w:val="10"/>
          <w:sz w:val="16"/>
          <w:szCs w:val="16"/>
          <w:highlight w:val="none"/>
        </w:rPr>
        <w:t>3</w:t>
      </w:r>
      <w:r>
        <w:rPr>
          <w:rFonts w:ascii="Times New Roman" w:hAnsi="Times New Roman" w:eastAsia="Times New Roman" w:cs="Times New Roman"/>
          <w:color w:val="auto"/>
          <w:spacing w:val="-12"/>
          <w:position w:val="10"/>
          <w:sz w:val="16"/>
          <w:szCs w:val="16"/>
          <w:highlight w:val="none"/>
        </w:rPr>
        <w:t xml:space="preserve"> </w:t>
      </w: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SO</w:t>
      </w:r>
      <w:r>
        <w:rPr>
          <w:rFonts w:ascii="Times New Roman" w:hAnsi="Times New Roman" w:eastAsia="Times New Roman" w:cs="Times New Roman"/>
          <w:color w:val="auto"/>
          <w:spacing w:val="-3"/>
          <w:position w:val="-3"/>
          <w:sz w:val="16"/>
          <w:szCs w:val="16"/>
          <w:highlight w:val="none"/>
        </w:rPr>
        <w:t>2</w:t>
      </w:r>
      <w:r>
        <w:rPr>
          <w:rFonts w:ascii="Times New Roman" w:hAnsi="Times New Roman" w:eastAsia="Times New Roman" w:cs="Times New Roman"/>
          <w:color w:val="auto"/>
          <w:spacing w:val="11"/>
          <w:w w:val="101"/>
          <w:position w:val="-3"/>
          <w:sz w:val="16"/>
          <w:szCs w:val="16"/>
          <w:highlight w:val="none"/>
        </w:rPr>
        <w:t xml:space="preserve"> </w:t>
      </w:r>
      <w:r>
        <w:rPr>
          <w:rFonts w:ascii="宋体" w:hAnsi="宋体" w:eastAsia="宋体" w:cs="宋体"/>
          <w:color w:val="auto"/>
          <w:spacing w:val="-3"/>
          <w:sz w:val="24"/>
          <w:szCs w:val="24"/>
          <w:highlight w:val="none"/>
        </w:rPr>
        <w:t>排放浓度</w:t>
      </w:r>
      <w:r>
        <w:rPr>
          <w:rFonts w:hint="eastAsia" w:hAnsi="宋体" w:cs="宋体"/>
          <w:color w:val="auto"/>
          <w:spacing w:val="-3"/>
          <w:sz w:val="24"/>
          <w:szCs w:val="24"/>
          <w:highlight w:val="none"/>
          <w:lang w:val="en-US" w:eastAsia="zh-CN"/>
        </w:rPr>
        <w:t>352-392</w:t>
      </w:r>
      <w:r>
        <w:rPr>
          <w:rFonts w:ascii="Times New Roman" w:hAnsi="Times New Roman" w:eastAsia="Times New Roman" w:cs="Times New Roman"/>
          <w:color w:val="auto"/>
          <w:spacing w:val="-3"/>
          <w:sz w:val="24"/>
          <w:szCs w:val="24"/>
          <w:highlight w:val="none"/>
        </w:rPr>
        <w:t>mg/m</w:t>
      </w:r>
      <w:r>
        <w:rPr>
          <w:rFonts w:ascii="Times New Roman" w:hAnsi="Times New Roman" w:eastAsia="Times New Roman" w:cs="Times New Roman"/>
          <w:color w:val="auto"/>
          <w:spacing w:val="-3"/>
          <w:position w:val="10"/>
          <w:sz w:val="16"/>
          <w:szCs w:val="16"/>
          <w:highlight w:val="none"/>
        </w:rPr>
        <w:t>3</w:t>
      </w:r>
      <w:r>
        <w:rPr>
          <w:rFonts w:ascii="Times New Roman" w:hAnsi="Times New Roman" w:eastAsia="Times New Roman" w:cs="Times New Roman"/>
          <w:color w:val="auto"/>
          <w:spacing w:val="-13"/>
          <w:position w:val="10"/>
          <w:sz w:val="16"/>
          <w:szCs w:val="16"/>
          <w:highlight w:val="none"/>
        </w:rPr>
        <w:t xml:space="preserve"> </w:t>
      </w:r>
      <w:r>
        <w:rPr>
          <w:rFonts w:ascii="宋体" w:hAnsi="宋体" w:eastAsia="宋体" w:cs="宋体"/>
          <w:color w:val="auto"/>
          <w:spacing w:val="-3"/>
          <w:sz w:val="24"/>
          <w:szCs w:val="24"/>
          <w:highlight w:val="none"/>
        </w:rPr>
        <w:t>，可以满足《锅炉大气污染物排放标准》（</w:t>
      </w:r>
      <w:r>
        <w:rPr>
          <w:rFonts w:ascii="Times New Roman" w:hAnsi="Times New Roman" w:eastAsia="Times New Roman" w:cs="Times New Roman"/>
          <w:color w:val="auto"/>
          <w:spacing w:val="-3"/>
          <w:sz w:val="24"/>
          <w:szCs w:val="24"/>
          <w:highlight w:val="none"/>
        </w:rPr>
        <w:t>GB13271-2001</w:t>
      </w:r>
      <w:r>
        <w:rPr>
          <w:rFonts w:ascii="Times New Roman" w:hAnsi="Times New Roman" w:eastAsia="Times New Roman" w:cs="Times New Roman"/>
          <w:color w:val="auto"/>
          <w:spacing w:val="6"/>
          <w:w w:val="101"/>
          <w:sz w:val="24"/>
          <w:szCs w:val="24"/>
          <w:highlight w:val="none"/>
        </w:rPr>
        <w:t xml:space="preserve"> </w:t>
      </w:r>
      <w:r>
        <w:rPr>
          <w:rFonts w:ascii="宋体" w:hAnsi="宋体" w:eastAsia="宋体" w:cs="宋体"/>
          <w:color w:val="auto"/>
          <w:spacing w:val="-3"/>
          <w:sz w:val="24"/>
          <w:szCs w:val="24"/>
          <w:highlight w:val="none"/>
        </w:rPr>
        <w:t>）二类区Ⅱ时段标准。</w:t>
      </w:r>
    </w:p>
    <w:p>
      <w:pPr>
        <w:pStyle w:val="27"/>
        <w:keepNext w:val="0"/>
        <w:keepLines w:val="0"/>
        <w:pageBreakBefore w:val="0"/>
        <w:kinsoku/>
        <w:wordWrap/>
        <w:overflowPunct/>
        <w:topLinePunct w:val="0"/>
        <w:autoSpaceDE w:val="0"/>
        <w:autoSpaceDN w:val="0"/>
        <w:bidi w:val="0"/>
        <w:spacing w:before="0" w:line="500" w:lineRule="exact"/>
        <w:ind w:leftChars="0"/>
        <w:textAlignment w:val="auto"/>
        <w:rPr>
          <w:rFonts w:hint="eastAsia" w:ascii="宋体" w:hAnsi="宋体" w:eastAsia="宋体" w:cs="宋体"/>
          <w:color w:val="auto"/>
          <w:spacing w:val="-3"/>
          <w:sz w:val="24"/>
          <w:szCs w:val="24"/>
          <w:highlight w:val="none"/>
          <w:lang w:eastAsia="zh-CN"/>
        </w:rPr>
      </w:pP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lang w:val="en-US" w:eastAsia="zh-CN"/>
        </w:rPr>
        <w:t>2</w:t>
      </w:r>
      <w:r>
        <w:rPr>
          <w:rFonts w:hint="eastAsia" w:ascii="宋体" w:hAnsi="宋体" w:eastAsia="宋体" w:cs="宋体"/>
          <w:color w:val="auto"/>
          <w:spacing w:val="-3"/>
          <w:sz w:val="24"/>
          <w:szCs w:val="24"/>
          <w:highlight w:val="none"/>
          <w:lang w:eastAsia="zh-CN"/>
        </w:rPr>
        <w:t>）污水处理站恶臭气体</w:t>
      </w:r>
    </w:p>
    <w:p>
      <w:pPr>
        <w:pStyle w:val="27"/>
        <w:keepNext w:val="0"/>
        <w:keepLines w:val="0"/>
        <w:pageBreakBefore w:val="0"/>
        <w:kinsoku/>
        <w:wordWrap/>
        <w:overflowPunct/>
        <w:topLinePunct w:val="0"/>
        <w:autoSpaceDE w:val="0"/>
        <w:autoSpaceDN w:val="0"/>
        <w:bidi w:val="0"/>
        <w:spacing w:before="0" w:line="500" w:lineRule="exact"/>
        <w:ind w:leftChars="0"/>
        <w:textAlignment w:val="auto"/>
        <w:rPr>
          <w:rFonts w:hint="default"/>
          <w:color w:val="auto"/>
          <w:highlight w:val="none"/>
          <w:lang w:val="en-US" w:eastAsia="zh-CN"/>
        </w:rPr>
      </w:pPr>
      <w:r>
        <w:rPr>
          <w:rFonts w:hint="eastAsia" w:ascii="宋体" w:hAnsi="宋体" w:eastAsia="宋体" w:cs="宋体"/>
          <w:color w:val="auto"/>
          <w:spacing w:val="-3"/>
          <w:sz w:val="24"/>
          <w:szCs w:val="24"/>
          <w:highlight w:val="none"/>
          <w:lang w:val="en-US" w:eastAsia="zh-CN"/>
        </w:rPr>
        <w:t>污水处理站恶</w:t>
      </w:r>
      <w:r>
        <w:rPr>
          <w:rFonts w:hint="eastAsia"/>
          <w:color w:val="auto"/>
          <w:highlight w:val="none"/>
          <w:lang w:val="en-US" w:eastAsia="zh-CN"/>
        </w:rPr>
        <w:t>臭气体经轴流风机+活性炭吸附+15米高排气筒排放，</w:t>
      </w:r>
      <w:r>
        <w:rPr>
          <w:rFonts w:hint="eastAsia" w:hAnsi="宋体" w:cs="宋体"/>
          <w:color w:val="auto"/>
          <w:spacing w:val="-6"/>
          <w:sz w:val="24"/>
          <w:szCs w:val="24"/>
          <w:highlight w:val="none"/>
          <w:lang w:val="en-US" w:eastAsia="zh-CN"/>
        </w:rPr>
        <w:t>根据</w:t>
      </w:r>
      <w:r>
        <w:rPr>
          <w:rFonts w:hint="eastAsia"/>
          <w:color w:val="auto"/>
          <w:highlight w:val="none"/>
          <w:lang w:val="en-US" w:eastAsia="zh-CN"/>
        </w:rPr>
        <w:t>《大庆市李氏纸业制造有限责任公司10000t/a生活用纸建设项目竣工环境保护验收监测报告》，硫化氢未检出，氨在下风向浓度范围为0.08-0.18</w:t>
      </w:r>
      <w:r>
        <w:rPr>
          <w:rFonts w:ascii="Times New Roman" w:hAnsi="Times New Roman" w:eastAsia="Times New Roman" w:cs="Times New Roman"/>
          <w:color w:val="auto"/>
          <w:spacing w:val="-3"/>
          <w:sz w:val="24"/>
          <w:szCs w:val="24"/>
          <w:highlight w:val="none"/>
        </w:rPr>
        <w:t>mg/m</w:t>
      </w:r>
      <w:r>
        <w:rPr>
          <w:rFonts w:ascii="Times New Roman" w:hAnsi="Times New Roman" w:eastAsia="Times New Roman" w:cs="Times New Roman"/>
          <w:color w:val="auto"/>
          <w:spacing w:val="-3"/>
          <w:position w:val="10"/>
          <w:sz w:val="16"/>
          <w:szCs w:val="16"/>
          <w:highlight w:val="none"/>
        </w:rPr>
        <w:t>3</w:t>
      </w:r>
      <w:r>
        <w:rPr>
          <w:rFonts w:hint="eastAsia" w:ascii="Times New Roman" w:eastAsia="宋体" w:cs="Times New Roman"/>
          <w:color w:val="auto"/>
          <w:spacing w:val="-3"/>
          <w:position w:val="10"/>
          <w:sz w:val="16"/>
          <w:szCs w:val="16"/>
          <w:highlight w:val="none"/>
          <w:lang w:val="en-US" w:eastAsia="zh-CN"/>
        </w:rPr>
        <w:t xml:space="preserve"> </w:t>
      </w:r>
      <w:r>
        <w:rPr>
          <w:rFonts w:hint="eastAsia"/>
          <w:color w:val="auto"/>
          <w:highlight w:val="none"/>
          <w:lang w:val="en-US" w:eastAsia="zh-CN"/>
        </w:rPr>
        <w:t>，下风向均为10个臭气浓度，可达到《恶臭污染物排放标准》（GB14554-93）标准要求。</w:t>
      </w:r>
    </w:p>
    <w:p>
      <w:pPr>
        <w:keepNext w:val="0"/>
        <w:keepLines w:val="0"/>
        <w:pageBreakBefore w:val="0"/>
        <w:widowControl/>
        <w:suppressLineNumbers w:val="0"/>
        <w:kinsoku/>
        <w:wordWrap/>
        <w:overflowPunct/>
        <w:topLinePunct w:val="0"/>
        <w:autoSpaceDE w:val="0"/>
        <w:autoSpaceDN w:val="0"/>
        <w:bidi w:val="0"/>
        <w:adjustRightInd/>
        <w:snapToGrid/>
        <w:spacing w:before="0" w:line="500" w:lineRule="exact"/>
        <w:ind w:leftChars="0" w:firstLine="0" w:firstLineChars="0"/>
        <w:jc w:val="left"/>
        <w:textAlignment w:val="auto"/>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 xml:space="preserve">3.1.8.3 </w:t>
      </w:r>
      <w:r>
        <w:rPr>
          <w:rFonts w:hint="eastAsia" w:ascii="宋体" w:hAnsi="宋体" w:eastAsia="宋体" w:cs="宋体"/>
          <w:b/>
          <w:bCs/>
          <w:color w:val="auto"/>
          <w:kern w:val="0"/>
          <w:sz w:val="24"/>
          <w:szCs w:val="24"/>
          <w:highlight w:val="none"/>
          <w:lang w:val="en-US" w:eastAsia="zh-CN" w:bidi="ar"/>
        </w:rPr>
        <w:t xml:space="preserve">固体废物 </w:t>
      </w:r>
    </w:p>
    <w:p>
      <w:pPr>
        <w:keepNext w:val="0"/>
        <w:keepLines w:val="0"/>
        <w:pageBreakBefore w:val="0"/>
        <w:kinsoku/>
        <w:wordWrap/>
        <w:overflowPunct/>
        <w:topLinePunct w:val="0"/>
        <w:autoSpaceDE w:val="0"/>
        <w:autoSpaceDN w:val="0"/>
        <w:bidi w:val="0"/>
        <w:spacing w:before="0" w:line="500" w:lineRule="exact"/>
        <w:ind w:leftChars="0" w:firstLine="487"/>
        <w:textAlignment w:val="auto"/>
        <w:rPr>
          <w:rFonts w:ascii="宋体" w:hAnsi="宋体" w:eastAsia="宋体" w:cs="宋体"/>
          <w:color w:val="auto"/>
          <w:sz w:val="24"/>
          <w:szCs w:val="24"/>
          <w:highlight w:val="none"/>
        </w:rPr>
      </w:pPr>
      <w:r>
        <w:rPr>
          <w:rFonts w:hint="eastAsia" w:ascii="宋体" w:hAnsi="宋体" w:cs="宋体"/>
          <w:color w:val="auto"/>
          <w:spacing w:val="-2"/>
          <w:sz w:val="24"/>
          <w:szCs w:val="24"/>
          <w:highlight w:val="none"/>
          <w:lang w:eastAsia="zh-CN"/>
        </w:rPr>
        <w:t>原有</w:t>
      </w:r>
      <w:r>
        <w:rPr>
          <w:rFonts w:ascii="宋体" w:hAnsi="宋体" w:eastAsia="宋体" w:cs="宋体"/>
          <w:color w:val="auto"/>
          <w:spacing w:val="-2"/>
          <w:sz w:val="24"/>
          <w:szCs w:val="24"/>
          <w:highlight w:val="none"/>
        </w:rPr>
        <w:t>项目产生的固体废物</w:t>
      </w:r>
      <w:r>
        <w:rPr>
          <w:rFonts w:ascii="宋体" w:hAnsi="宋体" w:eastAsia="宋体" w:cs="宋体"/>
          <w:color w:val="auto"/>
          <w:spacing w:val="-39"/>
          <w:sz w:val="24"/>
          <w:szCs w:val="24"/>
          <w:highlight w:val="none"/>
        </w:rPr>
        <w:t xml:space="preserve"> </w:t>
      </w:r>
      <w:r>
        <w:rPr>
          <w:rFonts w:hint="eastAsia" w:ascii="Times New Roman" w:hAnsi="Times New Roman" w:eastAsia="宋体" w:cs="Times New Roman"/>
          <w:color w:val="auto"/>
          <w:spacing w:val="-2"/>
          <w:sz w:val="24"/>
          <w:szCs w:val="24"/>
          <w:highlight w:val="none"/>
          <w:lang w:val="en-US" w:eastAsia="zh-CN"/>
        </w:rPr>
        <w:t>523</w:t>
      </w:r>
      <w:r>
        <w:rPr>
          <w:rFonts w:hint="eastAsia" w:cs="Times New Roman"/>
          <w:color w:val="auto"/>
          <w:spacing w:val="-2"/>
          <w:sz w:val="24"/>
          <w:szCs w:val="24"/>
          <w:highlight w:val="none"/>
          <w:lang w:val="en-US" w:eastAsia="zh-CN"/>
        </w:rPr>
        <w:t>.5</w:t>
      </w:r>
      <w:r>
        <w:rPr>
          <w:rFonts w:ascii="Times New Roman" w:hAnsi="Times New Roman" w:eastAsia="Times New Roman" w:cs="Times New Roman"/>
          <w:color w:val="auto"/>
          <w:spacing w:val="-2"/>
          <w:sz w:val="24"/>
          <w:szCs w:val="24"/>
          <w:highlight w:val="none"/>
        </w:rPr>
        <w:t>t/a</w:t>
      </w:r>
      <w:r>
        <w:rPr>
          <w:rFonts w:ascii="Times New Roman" w:hAnsi="Times New Roman" w:eastAsia="Times New Roman" w:cs="Times New Roman"/>
          <w:color w:val="auto"/>
          <w:spacing w:val="-35"/>
          <w:sz w:val="24"/>
          <w:szCs w:val="24"/>
          <w:highlight w:val="none"/>
        </w:rPr>
        <w:t xml:space="preserve"> </w:t>
      </w:r>
      <w:r>
        <w:rPr>
          <w:rFonts w:ascii="宋体" w:hAnsi="宋体" w:eastAsia="宋体" w:cs="宋体"/>
          <w:color w:val="auto"/>
          <w:spacing w:val="-2"/>
          <w:sz w:val="24"/>
          <w:szCs w:val="24"/>
          <w:highlight w:val="none"/>
        </w:rPr>
        <w:t>，固废类型和处置方式详见表</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pacing w:val="-2"/>
          <w:sz w:val="24"/>
          <w:szCs w:val="24"/>
          <w:highlight w:val="none"/>
        </w:rPr>
        <w:t>3.1.8.</w:t>
      </w:r>
      <w:r>
        <w:rPr>
          <w:rFonts w:hint="eastAsia" w:eastAsia="宋体" w:cs="Times New Roman"/>
          <w:color w:val="auto"/>
          <w:spacing w:val="-2"/>
          <w:sz w:val="24"/>
          <w:szCs w:val="24"/>
          <w:highlight w:val="none"/>
          <w:lang w:val="en-US" w:eastAsia="zh-CN"/>
        </w:rPr>
        <w:t>1</w:t>
      </w:r>
      <w:r>
        <w:rPr>
          <w:rFonts w:ascii="宋体" w:hAnsi="宋体" w:eastAsia="宋体" w:cs="宋体"/>
          <w:color w:val="auto"/>
          <w:spacing w:val="-2"/>
          <w:sz w:val="24"/>
          <w:szCs w:val="24"/>
          <w:highlight w:val="none"/>
        </w:rPr>
        <w:t>。</w:t>
      </w:r>
    </w:p>
    <w:p>
      <w:pPr>
        <w:keepNext w:val="0"/>
        <w:keepLines w:val="0"/>
        <w:pageBreakBefore w:val="0"/>
        <w:kinsoku/>
        <w:wordWrap/>
        <w:overflowPunct/>
        <w:topLinePunct w:val="0"/>
        <w:autoSpaceDE w:val="0"/>
        <w:autoSpaceDN w:val="0"/>
        <w:bidi w:val="0"/>
        <w:spacing w:before="0" w:line="500" w:lineRule="exact"/>
        <w:ind w:leftChars="0" w:firstLine="2253"/>
        <w:textAlignment w:val="auto"/>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表 3.1.8.1    原有项目固体废物产生及处置情况一览表</w:t>
      </w:r>
    </w:p>
    <w:tbl>
      <w:tblPr>
        <w:tblStyle w:val="28"/>
        <w:tblW w:w="885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855"/>
        <w:gridCol w:w="1925"/>
        <w:gridCol w:w="407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名称</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2"/>
                <w:sz w:val="21"/>
                <w:szCs w:val="21"/>
                <w:highlight w:val="none"/>
              </w:rPr>
              <w:t>产生量</w:t>
            </w:r>
            <w:r>
              <w:rPr>
                <w:rFonts w:hint="eastAsia" w:cs="Times New Roman"/>
                <w:color w:val="auto"/>
                <w:spacing w:val="-2"/>
                <w:sz w:val="21"/>
                <w:szCs w:val="21"/>
                <w:highlight w:val="none"/>
                <w:lang w:eastAsia="zh-CN"/>
              </w:rPr>
              <w:t>（</w:t>
            </w:r>
            <w:r>
              <w:rPr>
                <w:rFonts w:ascii="Times New Roman" w:hAnsi="Times New Roman" w:eastAsia="宋体" w:cs="Times New Roman"/>
                <w:color w:val="auto"/>
                <w:spacing w:val="-47"/>
                <w:sz w:val="21"/>
                <w:szCs w:val="21"/>
                <w:highlight w:val="none"/>
              </w:rPr>
              <w:t xml:space="preserve"> </w:t>
            </w:r>
            <w:r>
              <w:rPr>
                <w:rFonts w:ascii="Times New Roman" w:hAnsi="Times New Roman" w:eastAsia="宋体" w:cs="Times New Roman"/>
                <w:color w:val="auto"/>
                <w:spacing w:val="-2"/>
                <w:sz w:val="21"/>
                <w:szCs w:val="21"/>
                <w:highlight w:val="none"/>
              </w:rPr>
              <w:t>t/a</w:t>
            </w:r>
            <w:r>
              <w:rPr>
                <w:rFonts w:hint="eastAsia" w:cs="Times New Roman"/>
                <w:color w:val="auto"/>
                <w:spacing w:val="-2"/>
                <w:sz w:val="21"/>
                <w:szCs w:val="21"/>
                <w:highlight w:val="none"/>
                <w:lang w:eastAsia="zh-CN"/>
              </w:rPr>
              <w:t>）</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处置方式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污水处理站污泥</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419</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风干后由附近村民做燃料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微网回收的</w:t>
            </w:r>
            <w:r>
              <w:rPr>
                <w:rFonts w:hint="eastAsia" w:ascii="Times New Roman" w:hAnsi="Times New Roman" w:eastAsia="宋体" w:cs="Times New Roman"/>
                <w:color w:val="auto"/>
                <w:sz w:val="21"/>
                <w:szCs w:val="21"/>
                <w:highlight w:val="none"/>
                <w:lang w:eastAsia="zh-CN"/>
              </w:rPr>
              <w:t>纸纤维</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外售养殖场用作生产蛋托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铜网</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pacing w:val="-1"/>
                <w:sz w:val="21"/>
                <w:szCs w:val="21"/>
                <w:highlight w:val="none"/>
                <w:lang w:eastAsia="zh-CN"/>
              </w:rPr>
            </w:pPr>
            <w:r>
              <w:rPr>
                <w:rFonts w:hint="eastAsia" w:ascii="Times New Roman" w:hAnsi="Times New Roman" w:eastAsia="宋体" w:cs="Times New Roman"/>
                <w:color w:val="auto"/>
                <w:spacing w:val="-1"/>
                <w:sz w:val="21"/>
                <w:szCs w:val="21"/>
                <w:highlight w:val="none"/>
                <w:lang w:eastAsia="zh-CN"/>
              </w:rPr>
              <w:t>外售废品回收站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毛布</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pacing w:val="-1"/>
                <w:sz w:val="21"/>
                <w:szCs w:val="21"/>
                <w:highlight w:val="none"/>
                <w:lang w:eastAsia="zh-CN"/>
              </w:rPr>
            </w:pPr>
            <w:r>
              <w:rPr>
                <w:rFonts w:hint="eastAsia" w:cs="Times New Roman"/>
                <w:color w:val="auto"/>
                <w:spacing w:val="-1"/>
                <w:sz w:val="21"/>
                <w:szCs w:val="21"/>
                <w:highlight w:val="none"/>
                <w:lang w:eastAsia="zh-CN"/>
              </w:rPr>
              <w:t>生活</w:t>
            </w:r>
            <w:r>
              <w:rPr>
                <w:rFonts w:hint="eastAsia" w:ascii="Times New Roman" w:hAnsi="Times New Roman" w:eastAsia="宋体" w:cs="Times New Roman"/>
                <w:color w:val="auto"/>
                <w:spacing w:val="-1"/>
                <w:sz w:val="21"/>
                <w:szCs w:val="21"/>
                <w:highlight w:val="none"/>
                <w:lang w:eastAsia="zh-CN"/>
              </w:rPr>
              <w:t>垃圾填埋场处理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废活性炭</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pacing w:val="-1"/>
                <w:sz w:val="21"/>
                <w:szCs w:val="21"/>
                <w:highlight w:val="none"/>
                <w:lang w:eastAsia="zh-CN"/>
              </w:rPr>
            </w:pPr>
            <w:r>
              <w:rPr>
                <w:rFonts w:hint="eastAsia" w:cs="Times New Roman"/>
                <w:color w:val="auto"/>
                <w:spacing w:val="-1"/>
                <w:sz w:val="21"/>
                <w:szCs w:val="21"/>
                <w:highlight w:val="none"/>
                <w:lang w:eastAsia="zh-CN"/>
              </w:rPr>
              <w:t>本企业</w:t>
            </w:r>
            <w:r>
              <w:rPr>
                <w:rFonts w:hint="eastAsia" w:ascii="Times New Roman" w:hAnsi="Times New Roman" w:eastAsia="宋体" w:cs="Times New Roman"/>
                <w:color w:val="auto"/>
                <w:spacing w:val="-1"/>
                <w:sz w:val="21"/>
                <w:szCs w:val="21"/>
                <w:highlight w:val="none"/>
                <w:lang w:eastAsia="zh-CN"/>
              </w:rPr>
              <w:t>锅炉焚烧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eastAsia"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eastAsia="zh-CN"/>
              </w:rPr>
              <w:t>生活垃圾</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50</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ascii="Times New Roman" w:hAnsi="Times New Roman" w:eastAsia="宋体" w:cs="Times New Roman"/>
                <w:color w:val="auto"/>
                <w:sz w:val="21"/>
                <w:szCs w:val="21"/>
                <w:highlight w:val="none"/>
              </w:rPr>
            </w:pPr>
            <w:r>
              <w:rPr>
                <w:rFonts w:hint="eastAsia" w:cs="Times New Roman"/>
                <w:color w:val="auto"/>
                <w:spacing w:val="-2"/>
                <w:sz w:val="21"/>
                <w:szCs w:val="21"/>
                <w:highlight w:val="none"/>
                <w:lang w:eastAsia="zh-CN"/>
              </w:rPr>
              <w:t>生活</w:t>
            </w:r>
            <w:r>
              <w:rPr>
                <w:rFonts w:hint="eastAsia" w:ascii="Times New Roman" w:hAnsi="Times New Roman" w:eastAsia="宋体" w:cs="Times New Roman"/>
                <w:color w:val="auto"/>
                <w:spacing w:val="-2"/>
                <w:sz w:val="21"/>
                <w:szCs w:val="21"/>
                <w:highlight w:val="none"/>
                <w:lang w:eastAsia="zh-CN"/>
              </w:rPr>
              <w:t>垃圾填埋场</w:t>
            </w:r>
            <w:r>
              <w:rPr>
                <w:rFonts w:ascii="Times New Roman" w:hAnsi="Times New Roman" w:eastAsia="宋体" w:cs="Times New Roman"/>
                <w:color w:val="auto"/>
                <w:spacing w:val="-2"/>
                <w:sz w:val="21"/>
                <w:szCs w:val="21"/>
                <w:highlight w:val="none"/>
              </w:rPr>
              <w:t>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28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left="0" w:leftChars="0" w:right="0" w:rightChars="0" w:firstLine="0" w:firstLineChars="0"/>
              <w:jc w:val="center"/>
              <w:textAlignment w:val="auto"/>
              <w:rPr>
                <w:rFonts w:ascii="Times New Roman" w:hAnsi="Times New Roman" w:eastAsia="宋体" w:cs="Times New Roman"/>
                <w:color w:val="auto"/>
                <w:sz w:val="21"/>
                <w:szCs w:val="21"/>
                <w:highlight w:val="none"/>
                <w:lang w:val="zh-CN" w:eastAsia="zh-CN" w:bidi="zh-CN"/>
              </w:rPr>
            </w:pPr>
            <w:r>
              <w:rPr>
                <w:rFonts w:ascii="Times New Roman" w:hAnsi="Times New Roman" w:eastAsia="宋体" w:cs="Times New Roman"/>
                <w:color w:val="auto"/>
                <w:spacing w:val="-2"/>
                <w:sz w:val="21"/>
                <w:szCs w:val="21"/>
                <w:highlight w:val="none"/>
              </w:rPr>
              <w:t>合计</w:t>
            </w:r>
          </w:p>
        </w:tc>
        <w:tc>
          <w:tcPr>
            <w:tcW w:w="192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523</w:t>
            </w:r>
            <w:r>
              <w:rPr>
                <w:rFonts w:hint="eastAsia" w:cs="Times New Roman"/>
                <w:color w:val="auto"/>
                <w:sz w:val="21"/>
                <w:szCs w:val="21"/>
                <w:highlight w:val="none"/>
                <w:lang w:val="en-US" w:eastAsia="zh-CN"/>
              </w:rPr>
              <w:t>.5</w:t>
            </w:r>
          </w:p>
        </w:tc>
        <w:tc>
          <w:tcPr>
            <w:tcW w:w="40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tLeast"/>
              <w:ind w:firstLine="0" w:firstLineChars="0"/>
              <w:jc w:val="center"/>
              <w:textAlignment w:val="auto"/>
              <w:rPr>
                <w:rFonts w:ascii="Times New Roman" w:hAnsi="Times New Roman" w:eastAsia="宋体" w:cs="Times New Roman"/>
                <w:color w:val="auto"/>
                <w:sz w:val="21"/>
                <w:highlight w:val="none"/>
              </w:rPr>
            </w:pPr>
          </w:p>
        </w:tc>
      </w:tr>
    </w:tbl>
    <w:p>
      <w:pPr>
        <w:keepNext w:val="0"/>
        <w:keepLines w:val="0"/>
        <w:pageBreakBefore w:val="0"/>
        <w:widowControl/>
        <w:suppressLineNumbers w:val="0"/>
        <w:kinsoku/>
        <w:wordWrap/>
        <w:overflowPunct/>
        <w:topLinePunct w:val="0"/>
        <w:autoSpaceDE w:val="0"/>
        <w:autoSpaceDN w:val="0"/>
        <w:bidi w:val="0"/>
        <w:adjustRightInd/>
        <w:snapToGrid/>
        <w:spacing w:before="0" w:line="500" w:lineRule="exact"/>
        <w:ind w:firstLine="0" w:firstLineChars="0"/>
        <w:jc w:val="both"/>
        <w:textAlignment w:val="auto"/>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 xml:space="preserve">3.1.8.4 </w:t>
      </w:r>
      <w:r>
        <w:rPr>
          <w:rFonts w:hint="eastAsia" w:ascii="宋体" w:hAnsi="宋体" w:eastAsia="宋体" w:cs="宋体"/>
          <w:b/>
          <w:bCs/>
          <w:color w:val="auto"/>
          <w:kern w:val="0"/>
          <w:sz w:val="24"/>
          <w:szCs w:val="24"/>
          <w:highlight w:val="none"/>
          <w:lang w:val="en-US" w:eastAsia="zh-CN" w:bidi="ar"/>
        </w:rPr>
        <w:t xml:space="preserve">噪声 </w:t>
      </w:r>
    </w:p>
    <w:p>
      <w:pPr>
        <w:keepNext w:val="0"/>
        <w:keepLines w:val="0"/>
        <w:pageBreakBefore w:val="0"/>
        <w:widowControl w:val="0"/>
        <w:kinsoku/>
        <w:wordWrap/>
        <w:overflowPunct/>
        <w:topLinePunct w:val="0"/>
        <w:autoSpaceDE w:val="0"/>
        <w:autoSpaceDN w:val="0"/>
        <w:bidi w:val="0"/>
        <w:adjustRightInd/>
        <w:snapToGrid/>
        <w:spacing w:before="0" w:line="500" w:lineRule="exact"/>
        <w:textAlignment w:val="auto"/>
        <w:outlineLvl w:val="9"/>
        <w:rPr>
          <w:rFonts w:hint="default"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eastAsia="zh-CN"/>
        </w:rPr>
        <w:t>对厂区噪声源，采取</w:t>
      </w:r>
      <w:r>
        <w:rPr>
          <w:rFonts w:hint="eastAsia" w:ascii="宋体" w:hAnsi="宋体" w:cs="宋体"/>
          <w:color w:val="auto"/>
          <w:spacing w:val="0"/>
          <w:sz w:val="24"/>
          <w:szCs w:val="24"/>
          <w:highlight w:val="none"/>
          <w:lang w:eastAsia="zh-CN"/>
        </w:rPr>
        <w:t>选</w:t>
      </w:r>
      <w:r>
        <w:rPr>
          <w:rFonts w:hint="eastAsia" w:ascii="宋体" w:hAnsi="宋体" w:eastAsia="宋体" w:cs="宋体"/>
          <w:color w:val="auto"/>
          <w:spacing w:val="0"/>
          <w:sz w:val="24"/>
          <w:szCs w:val="24"/>
          <w:highlight w:val="none"/>
          <w:lang w:eastAsia="zh-CN"/>
        </w:rPr>
        <w:t>用低噪声设备</w:t>
      </w:r>
      <w:r>
        <w:rPr>
          <w:rFonts w:hint="eastAsia" w:ascii="宋体" w:hAnsi="宋体"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安装消声器、设备基础减震和设置厂房隔声等措施从源头和传播途径控制噪声。</w:t>
      </w:r>
      <w:r>
        <w:rPr>
          <w:rFonts w:hint="eastAsia" w:hAnsi="宋体" w:cs="宋体"/>
          <w:color w:val="auto"/>
          <w:spacing w:val="0"/>
          <w:sz w:val="24"/>
          <w:szCs w:val="24"/>
          <w:highlight w:val="none"/>
          <w:lang w:val="en-US" w:eastAsia="zh-CN"/>
        </w:rPr>
        <w:t>根据</w:t>
      </w:r>
      <w:r>
        <w:rPr>
          <w:rFonts w:hint="eastAsia"/>
          <w:color w:val="auto"/>
          <w:highlight w:val="none"/>
          <w:lang w:val="en-US" w:eastAsia="zh-CN"/>
        </w:rPr>
        <w:t>《大庆市李氏纸业制造有限责任公司10000t/a生活用纸建设项目竣工环境保护验收监测报告》，</w:t>
      </w:r>
      <w:r>
        <w:rPr>
          <w:rFonts w:hint="eastAsia" w:ascii="宋体" w:hAnsi="宋体" w:eastAsia="宋体" w:cs="宋体"/>
          <w:color w:val="auto"/>
          <w:spacing w:val="0"/>
          <w:sz w:val="24"/>
          <w:szCs w:val="24"/>
          <w:highlight w:val="none"/>
          <w:lang w:val="en-US" w:eastAsia="zh-CN"/>
        </w:rPr>
        <w:t>厂界噪声满足《工业企业厂界噪声标准》（GB12348-90）中</w:t>
      </w:r>
      <w:r>
        <w:rPr>
          <w:rFonts w:hint="eastAsia" w:ascii="宋体" w:hAnsi="宋体" w:cs="宋体"/>
          <w:color w:val="auto"/>
          <w:spacing w:val="0"/>
          <w:sz w:val="24"/>
          <w:szCs w:val="24"/>
          <w:highlight w:val="none"/>
          <w:lang w:val="en-US" w:eastAsia="zh-CN"/>
        </w:rPr>
        <w:t>3</w:t>
      </w:r>
      <w:r>
        <w:rPr>
          <w:rFonts w:hint="eastAsia" w:ascii="宋体" w:hAnsi="宋体" w:eastAsia="宋体" w:cs="宋体"/>
          <w:color w:val="auto"/>
          <w:spacing w:val="0"/>
          <w:sz w:val="24"/>
          <w:szCs w:val="24"/>
          <w:highlight w:val="none"/>
          <w:lang w:val="en-US" w:eastAsia="zh-CN"/>
        </w:rPr>
        <w:t>类标准</w:t>
      </w:r>
      <w:r>
        <w:rPr>
          <w:rFonts w:hint="eastAsia" w:ascii="宋体" w:hAnsi="宋体" w:cs="宋体"/>
          <w:color w:val="auto"/>
          <w:spacing w:val="0"/>
          <w:sz w:val="24"/>
          <w:szCs w:val="24"/>
          <w:highlight w:val="none"/>
          <w:lang w:val="en-US" w:eastAsia="zh-CN"/>
        </w:rPr>
        <w:t>。</w:t>
      </w:r>
    </w:p>
    <w:p>
      <w:pPr>
        <w:keepNext w:val="0"/>
        <w:keepLines w:val="0"/>
        <w:pageBreakBefore w:val="0"/>
        <w:widowControl/>
        <w:suppressLineNumbers w:val="0"/>
        <w:kinsoku/>
        <w:wordWrap/>
        <w:overflowPunct/>
        <w:topLinePunct w:val="0"/>
        <w:autoSpaceDE w:val="0"/>
        <w:autoSpaceDN w:val="0"/>
        <w:bidi w:val="0"/>
        <w:adjustRightInd/>
        <w:snapToGrid/>
        <w:spacing w:before="0" w:line="500" w:lineRule="exact"/>
        <w:ind w:firstLine="0" w:firstLineChars="0"/>
        <w:jc w:val="left"/>
        <w:textAlignment w:val="auto"/>
        <w:rPr>
          <w:color w:val="auto"/>
          <w:highlight w:val="none"/>
        </w:rPr>
      </w:pPr>
      <w:r>
        <w:rPr>
          <w:rFonts w:hint="default" w:ascii="Times New Roman" w:hAnsi="Times New Roman" w:eastAsia="宋体" w:cs="Times New Roman"/>
          <w:b/>
          <w:bCs/>
          <w:color w:val="auto"/>
          <w:kern w:val="0"/>
          <w:sz w:val="24"/>
          <w:szCs w:val="24"/>
          <w:highlight w:val="none"/>
          <w:lang w:val="en-US" w:eastAsia="zh-CN" w:bidi="ar"/>
        </w:rPr>
        <w:t xml:space="preserve">3.1.8.5 </w:t>
      </w:r>
      <w:r>
        <w:rPr>
          <w:rFonts w:hint="eastAsia" w:ascii="宋体" w:hAnsi="宋体" w:eastAsia="宋体" w:cs="宋体"/>
          <w:b/>
          <w:bCs/>
          <w:color w:val="auto"/>
          <w:kern w:val="0"/>
          <w:sz w:val="24"/>
          <w:szCs w:val="24"/>
          <w:highlight w:val="none"/>
          <w:lang w:val="en-US" w:eastAsia="zh-CN" w:bidi="ar"/>
        </w:rPr>
        <w:t>污染物排放总量核定</w:t>
      </w:r>
    </w:p>
    <w:p>
      <w:pPr>
        <w:keepNext w:val="0"/>
        <w:keepLines w:val="0"/>
        <w:pageBreakBefore w:val="0"/>
        <w:widowControl/>
        <w:suppressLineNumbers w:val="0"/>
        <w:kinsoku/>
        <w:wordWrap/>
        <w:overflowPunct/>
        <w:topLinePunct w:val="0"/>
        <w:autoSpaceDE w:val="0"/>
        <w:autoSpaceDN w:val="0"/>
        <w:bidi w:val="0"/>
        <w:adjustRightInd/>
        <w:snapToGrid/>
        <w:spacing w:before="0" w:line="500" w:lineRule="exact"/>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原有项目污染物排放总量根据环评验收意见来核定。</w:t>
      </w:r>
    </w:p>
    <w:p>
      <w:pPr>
        <w:keepNext w:val="0"/>
        <w:keepLines w:val="0"/>
        <w:pageBreakBefore w:val="0"/>
        <w:widowControl w:val="0"/>
        <w:kinsoku/>
        <w:wordWrap/>
        <w:overflowPunct/>
        <w:topLinePunct w:val="0"/>
        <w:autoSpaceDE w:val="0"/>
        <w:autoSpaceDN w:val="0"/>
        <w:bidi w:val="0"/>
        <w:adjustRightInd/>
        <w:snapToGrid/>
        <w:spacing w:before="0" w:line="500" w:lineRule="exact"/>
        <w:textAlignment w:val="auto"/>
        <w:outlineLvl w:val="9"/>
        <w:rPr>
          <w:rFonts w:hint="eastAsia" w:ascii="Times New Roman" w:hAnsi="Times New Roman" w:eastAsia="宋体" w:cs="Times New Roman"/>
          <w:color w:val="auto"/>
          <w:spacing w:val="0"/>
          <w:sz w:val="24"/>
          <w:szCs w:val="24"/>
          <w:highlight w:val="none"/>
          <w:lang w:eastAsia="zh-CN"/>
        </w:rPr>
      </w:pPr>
      <w:r>
        <w:rPr>
          <w:rFonts w:hint="eastAsia" w:ascii="Times New Roman" w:hAnsi="Times New Roman" w:eastAsia="宋体" w:cs="Times New Roman"/>
          <w:color w:val="auto"/>
          <w:spacing w:val="0"/>
          <w:sz w:val="24"/>
          <w:szCs w:val="24"/>
          <w:highlight w:val="none"/>
          <w:lang w:eastAsia="zh-CN"/>
        </w:rPr>
        <w:t>表 3.1.8.</w:t>
      </w:r>
      <w:r>
        <w:rPr>
          <w:rFonts w:hint="eastAsia" w:ascii="Times New Roman" w:hAnsi="Times New Roman" w:eastAsia="宋体" w:cs="Times New Roman"/>
          <w:color w:val="auto"/>
          <w:spacing w:val="0"/>
          <w:sz w:val="24"/>
          <w:szCs w:val="24"/>
          <w:highlight w:val="none"/>
          <w:lang w:val="en-US" w:eastAsia="zh-CN"/>
        </w:rPr>
        <w:t>2</w:t>
      </w:r>
      <w:r>
        <w:rPr>
          <w:rFonts w:hint="eastAsia" w:ascii="Times New Roman" w:hAnsi="Times New Roman" w:eastAsia="宋体" w:cs="Times New Roman"/>
          <w:color w:val="auto"/>
          <w:spacing w:val="0"/>
          <w:sz w:val="24"/>
          <w:szCs w:val="24"/>
          <w:highlight w:val="none"/>
          <w:lang w:eastAsia="zh-CN"/>
        </w:rPr>
        <w:t xml:space="preserve">        </w:t>
      </w:r>
      <w:r>
        <w:rPr>
          <w:rFonts w:hint="eastAsia" w:ascii="Times New Roman" w:cs="Times New Roman"/>
          <w:color w:val="auto"/>
          <w:spacing w:val="0"/>
          <w:sz w:val="24"/>
          <w:szCs w:val="24"/>
          <w:highlight w:val="none"/>
          <w:lang w:val="en-US" w:eastAsia="zh-CN"/>
        </w:rPr>
        <w:t>原有</w:t>
      </w:r>
      <w:r>
        <w:rPr>
          <w:rFonts w:hint="eastAsia" w:ascii="Times New Roman" w:hAnsi="Times New Roman" w:eastAsia="宋体" w:cs="Times New Roman"/>
          <w:color w:val="auto"/>
          <w:spacing w:val="0"/>
          <w:sz w:val="24"/>
          <w:szCs w:val="24"/>
          <w:highlight w:val="none"/>
          <w:lang w:eastAsia="zh-CN"/>
        </w:rPr>
        <w:t xml:space="preserve">项目污染物总量排放核定   </w:t>
      </w:r>
      <w:r>
        <w:rPr>
          <w:rFonts w:hint="eastAsia" w:ascii="Times New Roman" w:hAnsi="Times New Roman" w:cs="Times New Roman"/>
          <w:color w:val="auto"/>
          <w:spacing w:val="0"/>
          <w:sz w:val="24"/>
          <w:szCs w:val="24"/>
          <w:highlight w:val="none"/>
          <w:lang w:val="en-US" w:eastAsia="zh-CN"/>
        </w:rPr>
        <w:t xml:space="preserve"> </w:t>
      </w:r>
      <w:r>
        <w:rPr>
          <w:rFonts w:hint="eastAsia" w:ascii="Times New Roman" w:hAnsi="Times New Roman" w:eastAsia="宋体" w:cs="Times New Roman"/>
          <w:color w:val="auto"/>
          <w:spacing w:val="0"/>
          <w:sz w:val="24"/>
          <w:szCs w:val="24"/>
          <w:highlight w:val="none"/>
          <w:lang w:eastAsia="zh-CN"/>
        </w:rPr>
        <w:t xml:space="preserve"> </w:t>
      </w:r>
      <w:r>
        <w:rPr>
          <w:rFonts w:hint="eastAsia" w:ascii="Times New Roman" w:hAnsi="Times New Roman" w:cs="Times New Roman"/>
          <w:color w:val="auto"/>
          <w:spacing w:val="0"/>
          <w:sz w:val="24"/>
          <w:szCs w:val="24"/>
          <w:highlight w:val="none"/>
          <w:lang w:val="en-US" w:eastAsia="zh-CN"/>
        </w:rPr>
        <w:t xml:space="preserve"> </w:t>
      </w:r>
      <w:r>
        <w:rPr>
          <w:rFonts w:hint="eastAsia" w:ascii="Times New Roman" w:hAnsi="Times New Roman" w:eastAsia="宋体" w:cs="Times New Roman"/>
          <w:color w:val="auto"/>
          <w:spacing w:val="0"/>
          <w:sz w:val="24"/>
          <w:szCs w:val="24"/>
          <w:highlight w:val="none"/>
          <w:lang w:eastAsia="zh-CN"/>
        </w:rPr>
        <w:t>单位：t/a</w:t>
      </w:r>
    </w:p>
    <w:tbl>
      <w:tblPr>
        <w:tblStyle w:val="28"/>
        <w:tblW w:w="8939"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356"/>
        <w:gridCol w:w="2404"/>
        <w:gridCol w:w="417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4760"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项目</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环评报告及</w:t>
            </w:r>
            <w:r>
              <w:rPr>
                <w:rFonts w:ascii="宋体" w:hAnsi="宋体" w:eastAsia="宋体" w:cs="宋体"/>
                <w:color w:val="auto"/>
                <w:spacing w:val="-43"/>
                <w:sz w:val="21"/>
                <w:szCs w:val="21"/>
                <w:highlight w:val="none"/>
              </w:rPr>
              <w:t xml:space="preserve"> </w:t>
            </w:r>
            <w:r>
              <w:rPr>
                <w:rFonts w:ascii="宋体" w:hAnsi="宋体" w:eastAsia="宋体" w:cs="宋体"/>
                <w:color w:val="auto"/>
                <w:spacing w:val="-2"/>
                <w:sz w:val="21"/>
                <w:szCs w:val="21"/>
                <w:highlight w:val="none"/>
              </w:rPr>
              <w:t>验收</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2356"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宋体" w:hAnsi="宋体" w:eastAsia="宋体" w:cs="宋体"/>
                <w:color w:val="auto"/>
                <w:sz w:val="21"/>
                <w:szCs w:val="21"/>
                <w:highlight w:val="none"/>
              </w:rPr>
            </w:pPr>
            <w:r>
              <w:rPr>
                <w:rFonts w:ascii="宋体" w:hAnsi="宋体" w:eastAsia="宋体" w:cs="宋体"/>
                <w:color w:val="auto"/>
                <w:spacing w:val="-2"/>
                <w:sz w:val="21"/>
                <w:szCs w:val="21"/>
                <w:highlight w:val="none"/>
              </w:rPr>
              <w:t>废水</w:t>
            </w:r>
          </w:p>
        </w:tc>
        <w:tc>
          <w:tcPr>
            <w:tcW w:w="240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废水量</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382930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3" w:hRule="atLeast"/>
        </w:trPr>
        <w:tc>
          <w:tcPr>
            <w:tcW w:w="2356"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Arial"/>
                <w:color w:val="auto"/>
                <w:sz w:val="21"/>
                <w:highlight w:val="none"/>
              </w:rPr>
            </w:pPr>
          </w:p>
        </w:tc>
        <w:tc>
          <w:tcPr>
            <w:tcW w:w="240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COD</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2356"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hint="eastAsia" w:ascii="Arial" w:eastAsia="宋体"/>
                <w:color w:val="auto"/>
                <w:sz w:val="21"/>
                <w:highlight w:val="none"/>
                <w:lang w:eastAsia="zh-CN"/>
              </w:rPr>
            </w:pPr>
            <w:r>
              <w:rPr>
                <w:rFonts w:hint="eastAsia" w:ascii="Arial"/>
                <w:color w:val="auto"/>
                <w:sz w:val="21"/>
                <w:highlight w:val="none"/>
                <w:lang w:eastAsia="zh-CN"/>
              </w:rPr>
              <w:t>废气</w:t>
            </w:r>
          </w:p>
        </w:tc>
        <w:tc>
          <w:tcPr>
            <w:tcW w:w="240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2"/>
                <w:sz w:val="21"/>
                <w:szCs w:val="21"/>
                <w:highlight w:val="none"/>
              </w:rPr>
              <w:t>SO</w:t>
            </w:r>
            <w:r>
              <w:rPr>
                <w:rFonts w:ascii="Times New Roman" w:hAnsi="Times New Roman" w:eastAsia="Times New Roman" w:cs="Times New Roman"/>
                <w:color w:val="auto"/>
                <w:spacing w:val="-2"/>
                <w:position w:val="-2"/>
                <w:sz w:val="13"/>
                <w:szCs w:val="13"/>
                <w:highlight w:val="none"/>
              </w:rPr>
              <w:t>2</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21"/>
                <w:szCs w:val="21"/>
                <w:highlight w:val="none"/>
              </w:rPr>
            </w:pPr>
            <w:r>
              <w:rPr>
                <w:rFonts w:hint="eastAsia" w:ascii="Times New Roman" w:hAnsi="Times New Roman" w:eastAsia="Times New Roman" w:cs="Times New Roman"/>
                <w:color w:val="auto"/>
                <w:spacing w:val="-1"/>
                <w:sz w:val="21"/>
                <w:szCs w:val="21"/>
                <w:highlight w:val="none"/>
              </w:rPr>
              <w:t>18.6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2356"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Arial"/>
                <w:color w:val="auto"/>
                <w:sz w:val="21"/>
                <w:highlight w:val="none"/>
              </w:rPr>
            </w:pPr>
          </w:p>
        </w:tc>
        <w:tc>
          <w:tcPr>
            <w:tcW w:w="240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NOx</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21"/>
                <w:szCs w:val="21"/>
                <w:highlight w:val="none"/>
              </w:rPr>
            </w:pPr>
            <w:r>
              <w:rPr>
                <w:rFonts w:hint="eastAsia" w:ascii="Times New Roman" w:hAnsi="Times New Roman" w:eastAsia="Times New Roman" w:cs="Times New Roman"/>
                <w:color w:val="auto"/>
                <w:spacing w:val="-1"/>
                <w:sz w:val="21"/>
                <w:szCs w:val="21"/>
                <w:highlight w:val="none"/>
              </w:rPr>
              <w:t>13.1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3" w:hRule="atLeast"/>
        </w:trPr>
        <w:tc>
          <w:tcPr>
            <w:tcW w:w="2356"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Arial"/>
                <w:color w:val="auto"/>
                <w:sz w:val="21"/>
                <w:highlight w:val="none"/>
              </w:rPr>
            </w:pPr>
          </w:p>
        </w:tc>
        <w:tc>
          <w:tcPr>
            <w:tcW w:w="240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颗粒物</w:t>
            </w:r>
          </w:p>
        </w:tc>
        <w:tc>
          <w:tcPr>
            <w:tcW w:w="41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exact"/>
              <w:ind w:firstLine="0" w:firstLineChars="0"/>
              <w:jc w:val="center"/>
              <w:textAlignment w:val="auto"/>
              <w:rPr>
                <w:rFonts w:ascii="Times New Roman" w:hAnsi="Times New Roman" w:eastAsia="Times New Roman" w:cs="Times New Roman"/>
                <w:color w:val="auto"/>
                <w:sz w:val="21"/>
                <w:szCs w:val="21"/>
                <w:highlight w:val="none"/>
              </w:rPr>
            </w:pPr>
            <w:r>
              <w:rPr>
                <w:rFonts w:hint="eastAsia" w:ascii="Times New Roman" w:hAnsi="Times New Roman" w:eastAsia="Times New Roman" w:cs="Times New Roman"/>
                <w:color w:val="auto"/>
                <w:spacing w:val="-4"/>
                <w:sz w:val="21"/>
                <w:szCs w:val="21"/>
                <w:highlight w:val="none"/>
              </w:rPr>
              <w:t>7.98</w:t>
            </w:r>
          </w:p>
        </w:tc>
      </w:tr>
    </w:tbl>
    <w:p>
      <w:pPr>
        <w:keepNext w:val="0"/>
        <w:keepLines w:val="0"/>
        <w:pageBreakBefore w:val="0"/>
        <w:widowControl/>
        <w:suppressLineNumbers w:val="0"/>
        <w:kinsoku/>
        <w:wordWrap/>
        <w:overflowPunct/>
        <w:topLinePunct w:val="0"/>
        <w:autoSpaceDE w:val="0"/>
        <w:autoSpaceDN w:val="0"/>
        <w:bidi w:val="0"/>
        <w:adjustRightInd/>
        <w:snapToGrid/>
        <w:ind w:firstLine="0" w:firstLineChars="0"/>
        <w:jc w:val="both"/>
        <w:textAlignment w:val="auto"/>
        <w:outlineLvl w:val="2"/>
        <w:rPr>
          <w:color w:val="auto"/>
          <w:highlight w:val="none"/>
        </w:rPr>
      </w:pPr>
      <w:bookmarkStart w:id="182" w:name="_Toc23359"/>
      <w:r>
        <w:rPr>
          <w:rFonts w:hint="default" w:ascii="Times New Roman" w:hAnsi="Times New Roman" w:eastAsia="宋体" w:cs="Times New Roman"/>
          <w:b/>
          <w:bCs/>
          <w:color w:val="auto"/>
          <w:kern w:val="0"/>
          <w:sz w:val="28"/>
          <w:szCs w:val="28"/>
          <w:highlight w:val="none"/>
          <w:lang w:val="en-US" w:eastAsia="zh-CN" w:bidi="ar"/>
        </w:rPr>
        <w:t xml:space="preserve">3.1.9 </w:t>
      </w:r>
      <w:r>
        <w:rPr>
          <w:rFonts w:hint="eastAsia" w:ascii="宋体" w:hAnsi="宋体" w:cs="宋体"/>
          <w:b/>
          <w:bCs/>
          <w:color w:val="auto"/>
          <w:kern w:val="0"/>
          <w:sz w:val="28"/>
          <w:szCs w:val="28"/>
          <w:highlight w:val="none"/>
          <w:lang w:val="en-US" w:eastAsia="zh-CN" w:bidi="ar"/>
        </w:rPr>
        <w:t>原</w:t>
      </w:r>
      <w:r>
        <w:rPr>
          <w:rFonts w:hint="eastAsia" w:ascii="宋体" w:hAnsi="宋体" w:eastAsia="宋体" w:cs="宋体"/>
          <w:b/>
          <w:bCs/>
          <w:color w:val="auto"/>
          <w:kern w:val="0"/>
          <w:sz w:val="28"/>
          <w:szCs w:val="28"/>
          <w:highlight w:val="none"/>
          <w:lang w:val="en-US" w:eastAsia="zh-CN" w:bidi="ar"/>
        </w:rPr>
        <w:t>有项目存在问题和技改内容</w:t>
      </w:r>
      <w:bookmarkEnd w:id="182"/>
      <w:r>
        <w:rPr>
          <w:rFonts w:hint="eastAsia" w:ascii="宋体" w:hAnsi="宋体" w:eastAsia="宋体" w:cs="宋体"/>
          <w:b/>
          <w:bCs/>
          <w:color w:val="auto"/>
          <w:kern w:val="0"/>
          <w:sz w:val="28"/>
          <w:szCs w:val="28"/>
          <w:highlight w:val="none"/>
          <w:lang w:val="en-US" w:eastAsia="zh-CN" w:bidi="ar"/>
        </w:rPr>
        <w:t xml:space="preserve"> </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宋体" w:hAnsi="宋体" w:eastAsia="宋体" w:cs="宋体"/>
          <w:color w:val="auto"/>
          <w:kern w:val="0"/>
          <w:sz w:val="24"/>
          <w:szCs w:val="24"/>
          <w:highlight w:val="none"/>
          <w:lang w:val="en-US" w:eastAsia="zh-CN" w:bidi="ar"/>
        </w:rPr>
        <w:t>对照现行的《产业结构调整指导目录》（</w:t>
      </w:r>
      <w:r>
        <w:rPr>
          <w:rFonts w:hint="default" w:ascii="Times New Roman" w:hAnsi="Times New Roman" w:eastAsia="宋体" w:cs="Times New Roman"/>
          <w:color w:val="auto"/>
          <w:kern w:val="0"/>
          <w:sz w:val="24"/>
          <w:szCs w:val="24"/>
          <w:highlight w:val="none"/>
          <w:lang w:val="en-US" w:eastAsia="zh-CN" w:bidi="ar"/>
        </w:rPr>
        <w:t>20</w:t>
      </w:r>
      <w:r>
        <w:rPr>
          <w:rFonts w:hint="eastAsia" w:cs="Times New Roman"/>
          <w:color w:val="auto"/>
          <w:kern w:val="0"/>
          <w:sz w:val="24"/>
          <w:szCs w:val="24"/>
          <w:highlight w:val="none"/>
          <w:lang w:val="en-US" w:eastAsia="zh-CN" w:bidi="ar"/>
        </w:rPr>
        <w:t>19</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年</w:t>
      </w:r>
      <w:r>
        <w:rPr>
          <w:rFonts w:hint="eastAsia" w:ascii="宋体" w:hAnsi="宋体" w:cs="宋体"/>
          <w:color w:val="auto"/>
          <w:kern w:val="0"/>
          <w:sz w:val="24"/>
          <w:szCs w:val="24"/>
          <w:highlight w:val="none"/>
          <w:lang w:val="en-US" w:eastAsia="zh-CN" w:bidi="ar"/>
        </w:rPr>
        <w:t>版，2021年</w:t>
      </w:r>
      <w:r>
        <w:rPr>
          <w:rFonts w:hint="eastAsia" w:ascii="宋体" w:hAnsi="宋体" w:eastAsia="宋体" w:cs="宋体"/>
          <w:color w:val="auto"/>
          <w:kern w:val="0"/>
          <w:sz w:val="24"/>
          <w:szCs w:val="24"/>
          <w:highlight w:val="none"/>
          <w:lang w:val="en-US" w:eastAsia="zh-CN" w:bidi="ar"/>
        </w:rPr>
        <w:t>修订）、《制浆造纸建设项目环境影响评价文件审批原则</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试行</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》、污染物排放标准等相关环保政策，</w:t>
      </w:r>
      <w:r>
        <w:rPr>
          <w:rFonts w:hint="eastAsia" w:ascii="宋体" w:hAnsi="宋体" w:cs="宋体"/>
          <w:color w:val="auto"/>
          <w:kern w:val="0"/>
          <w:sz w:val="24"/>
          <w:szCs w:val="24"/>
          <w:highlight w:val="none"/>
          <w:lang w:val="en-US" w:eastAsia="zh-CN" w:bidi="ar"/>
        </w:rPr>
        <w:t>原</w:t>
      </w:r>
      <w:r>
        <w:rPr>
          <w:rFonts w:hint="eastAsia" w:ascii="宋体" w:hAnsi="宋体" w:eastAsia="宋体" w:cs="宋体"/>
          <w:color w:val="auto"/>
          <w:kern w:val="0"/>
          <w:sz w:val="24"/>
          <w:szCs w:val="24"/>
          <w:highlight w:val="none"/>
          <w:lang w:val="en-US" w:eastAsia="zh-CN" w:bidi="ar"/>
        </w:rPr>
        <w:t>有项目环评中4台1575型纸机属于</w:t>
      </w:r>
      <w:r>
        <w:rPr>
          <w:rFonts w:hint="eastAsia" w:cs="Times New Roman"/>
          <w:color w:val="auto"/>
          <w:sz w:val="24"/>
          <w:highlight w:val="none"/>
          <w:lang w:val="en-US" w:eastAsia="zh-CN"/>
        </w:rPr>
        <w:t>国家产业政策目录中淘汰设备，6t/h燃煤锅炉不符合国家大气污染防治相关要求，属于淘汰设施。2012年改造将</w:t>
      </w:r>
      <w:r>
        <w:rPr>
          <w:rFonts w:hint="eastAsia" w:ascii="Times New Roman" w:hAnsi="Times New Roman" w:eastAsia="宋体" w:cs="Times New Roman"/>
          <w:color w:val="auto"/>
          <w:sz w:val="24"/>
          <w:highlight w:val="none"/>
          <w:lang w:val="en-US" w:eastAsia="zh-CN"/>
        </w:rPr>
        <w:t>4台1575型纸机更换为2台3500型纸机，</w:t>
      </w:r>
      <w:r>
        <w:rPr>
          <w:rFonts w:hint="eastAsia" w:cs="Times New Roman"/>
          <w:color w:val="auto"/>
          <w:sz w:val="24"/>
          <w:highlight w:val="none"/>
          <w:lang w:val="en-US" w:eastAsia="zh-CN"/>
        </w:rPr>
        <w:t>燃煤锅炉改为生物质燃料锅炉并配套建设布袋除尘设施，</w:t>
      </w:r>
      <w:r>
        <w:rPr>
          <w:rFonts w:hint="eastAsia" w:ascii="Times New Roman" w:hAnsi="Times New Roman" w:eastAsia="宋体" w:cs="Times New Roman"/>
          <w:color w:val="auto"/>
          <w:sz w:val="24"/>
          <w:highlight w:val="none"/>
          <w:lang w:val="en-US" w:eastAsia="zh-CN"/>
        </w:rPr>
        <w:t>其他配套</w:t>
      </w:r>
      <w:r>
        <w:rPr>
          <w:rFonts w:hint="eastAsia" w:cs="Times New Roman"/>
          <w:color w:val="auto"/>
          <w:sz w:val="24"/>
          <w:highlight w:val="none"/>
          <w:lang w:val="en-US" w:eastAsia="zh-CN"/>
        </w:rPr>
        <w:t>工程</w:t>
      </w:r>
      <w:r>
        <w:rPr>
          <w:rFonts w:hint="eastAsia" w:ascii="Times New Roman" w:hAnsi="Times New Roman" w:eastAsia="宋体" w:cs="Times New Roman"/>
          <w:color w:val="auto"/>
          <w:sz w:val="24"/>
          <w:highlight w:val="none"/>
          <w:lang w:val="en-US" w:eastAsia="zh-CN"/>
        </w:rPr>
        <w:t>设施不变；产品由年产1万吨/年生活用纸调整为年产1万吨/年薄页纸、特种用纸（金融、建材、电气电力、微电子、国防、通讯、食品、医疗等所需要的功能性用纸）、纸板</w:t>
      </w:r>
      <w:r>
        <w:rPr>
          <w:rFonts w:hint="eastAsia" w:cs="Times New Roman"/>
          <w:color w:val="auto"/>
          <w:sz w:val="24"/>
          <w:highlight w:val="none"/>
          <w:lang w:val="en-US" w:eastAsia="zh-CN"/>
        </w:rPr>
        <w:t>，改造项目符合国家产业政策及环保要求。</w:t>
      </w:r>
    </w:p>
    <w:p>
      <w:pPr>
        <w:rPr>
          <w:rFonts w:hint="eastAsia" w:ascii="Times New Roman" w:hAnsi="Times New Roman" w:eastAsia="宋体" w:cs="Times New Roman"/>
          <w:bCs w:val="0"/>
          <w:color w:val="auto"/>
          <w:kern w:val="2"/>
          <w:szCs w:val="20"/>
          <w:highlight w:val="none"/>
          <w:lang w:val="en-US" w:eastAsia="zh-CN" w:bidi="ar-SA"/>
        </w:rPr>
      </w:pPr>
      <w:r>
        <w:rPr>
          <w:rFonts w:hint="eastAsia" w:ascii="Times New Roman" w:hAnsi="Times New Roman" w:eastAsia="宋体" w:cs="Times New Roman"/>
          <w:bCs w:val="0"/>
          <w:color w:val="auto"/>
          <w:kern w:val="2"/>
          <w:szCs w:val="20"/>
          <w:highlight w:val="none"/>
          <w:lang w:val="en-US" w:eastAsia="zh-CN" w:bidi="ar-SA"/>
        </w:rPr>
        <w:br w:type="page"/>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183" w:name="_Toc28894"/>
      <w:r>
        <w:rPr>
          <w:rFonts w:hint="eastAsia" w:ascii="Times New Roman" w:hAnsi="Times New Roman" w:eastAsia="宋体" w:cs="Times New Roman"/>
          <w:bCs w:val="0"/>
          <w:color w:val="auto"/>
          <w:kern w:val="2"/>
          <w:szCs w:val="20"/>
          <w:highlight w:val="none"/>
          <w:lang w:val="en-US" w:eastAsia="zh-CN" w:bidi="ar-SA"/>
        </w:rPr>
        <w:t>3.2</w:t>
      </w:r>
      <w:r>
        <w:rPr>
          <w:rFonts w:hint="eastAsia" w:ascii="Times New Roman" w:hAnsi="Times New Roman" w:eastAsia="宋体" w:cs="Times New Roman"/>
          <w:bCs w:val="0"/>
          <w:color w:val="auto"/>
          <w:kern w:val="2"/>
          <w:szCs w:val="20"/>
          <w:highlight w:val="none"/>
          <w:lang w:val="en-US" w:bidi="ar-SA"/>
        </w:rPr>
        <w:t>改建项目工程分析</w:t>
      </w:r>
      <w:bookmarkEnd w:id="183"/>
    </w:p>
    <w:p>
      <w:pPr>
        <w:bidi w:val="0"/>
        <w:spacing w:line="500" w:lineRule="exact"/>
        <w:ind w:firstLine="480" w:firstLineChars="200"/>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大庆市李氏纸业制造有限责任公司在未办理环保相关手续的前提下改造</w:t>
      </w:r>
      <w:r>
        <w:rPr>
          <w:rFonts w:hint="eastAsia" w:cs="Times New Roman"/>
          <w:b w:val="0"/>
          <w:bCs w:val="0"/>
          <w:color w:val="auto"/>
          <w:sz w:val="24"/>
          <w:highlight w:val="none"/>
          <w:lang w:val="en-US" w:eastAsia="zh-CN"/>
        </w:rPr>
        <w:t>原</w:t>
      </w:r>
      <w:r>
        <w:rPr>
          <w:rFonts w:hint="eastAsia" w:ascii="Times New Roman" w:hAnsi="Times New Roman" w:eastAsia="宋体" w:cs="Times New Roman"/>
          <w:b w:val="0"/>
          <w:bCs w:val="0"/>
          <w:color w:val="auto"/>
          <w:sz w:val="24"/>
          <w:highlight w:val="none"/>
          <w:lang w:val="en-US" w:eastAsia="zh-CN"/>
        </w:rPr>
        <w:t>有10000t/a制浆造纸生产线，以漂白针叶木浆和</w:t>
      </w:r>
      <w:r>
        <w:rPr>
          <w:rFonts w:hint="eastAsia" w:ascii="Times New Roman" w:cs="Times New Roman"/>
          <w:b w:val="0"/>
          <w:bCs w:val="0"/>
          <w:color w:val="auto"/>
          <w:sz w:val="24"/>
          <w:highlight w:val="none"/>
          <w:lang w:val="en-US" w:eastAsia="zh-CN"/>
        </w:rPr>
        <w:t>木浆成份纸板</w:t>
      </w:r>
      <w:r>
        <w:rPr>
          <w:rFonts w:hint="eastAsia" w:cs="Times New Roman"/>
          <w:b w:val="0"/>
          <w:bCs w:val="0"/>
          <w:color w:val="auto"/>
          <w:sz w:val="24"/>
          <w:highlight w:val="none"/>
          <w:lang w:val="en-US" w:eastAsia="zh-CN"/>
        </w:rPr>
        <w:t>生产</w:t>
      </w:r>
      <w:r>
        <w:rPr>
          <w:rFonts w:hint="eastAsia" w:ascii="Times New Roman" w:hAnsi="Times New Roman" w:eastAsia="宋体" w:cs="Times New Roman"/>
          <w:color w:val="auto"/>
          <w:highlight w:val="none"/>
          <w:lang w:val="en-US" w:eastAsia="zh-CN"/>
        </w:rPr>
        <w:t>薄页纸、特种纸</w:t>
      </w:r>
      <w:r>
        <w:rPr>
          <w:rFonts w:hint="eastAsia"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纸板</w:t>
      </w:r>
      <w:r>
        <w:rPr>
          <w:rFonts w:hint="eastAsia" w:cs="Times New Roman"/>
          <w:color w:val="auto"/>
          <w:highlight w:val="none"/>
          <w:lang w:val="en-US" w:eastAsia="zh-CN"/>
        </w:rPr>
        <w:t>。</w:t>
      </w:r>
      <w:r>
        <w:rPr>
          <w:rFonts w:hint="eastAsia" w:ascii="Times New Roman" w:hAnsi="Times New Roman" w:eastAsia="宋体" w:cs="Times New Roman"/>
          <w:b w:val="0"/>
          <w:bCs w:val="0"/>
          <w:color w:val="auto"/>
          <w:sz w:val="24"/>
          <w:highlight w:val="none"/>
          <w:lang w:val="en-US" w:eastAsia="zh-CN"/>
        </w:rPr>
        <w:t>2021年12月20日，大庆市大同区生态环境局下发了《关于完善造纸企业环保手续的函》，要求大庆市李氏纸业制造有限责任公司尽快完善环保手续，在环保手续完善之前，不允许从事任何生产行为。</w:t>
      </w:r>
      <w:r>
        <w:rPr>
          <w:rFonts w:hint="eastAsia" w:cs="Times New Roman"/>
          <w:b w:val="0"/>
          <w:bCs w:val="0"/>
          <w:color w:val="auto"/>
          <w:sz w:val="24"/>
          <w:highlight w:val="none"/>
          <w:lang w:val="en-US" w:eastAsia="zh-CN"/>
        </w:rPr>
        <w:t>目前，厂区</w:t>
      </w:r>
      <w:r>
        <w:rPr>
          <w:rFonts w:hint="eastAsia" w:ascii="Times New Roman" w:hAnsi="Times New Roman" w:eastAsia="宋体" w:cs="Times New Roman"/>
          <w:b w:val="0"/>
          <w:bCs w:val="0"/>
          <w:color w:val="auto"/>
          <w:sz w:val="24"/>
          <w:highlight w:val="none"/>
          <w:lang w:val="en-US" w:eastAsia="zh-CN"/>
        </w:rPr>
        <w:t>造纸生产</w:t>
      </w:r>
      <w:r>
        <w:rPr>
          <w:rFonts w:hint="eastAsia" w:cs="Times New Roman"/>
          <w:b w:val="0"/>
          <w:bCs w:val="0"/>
          <w:color w:val="auto"/>
          <w:sz w:val="24"/>
          <w:highlight w:val="none"/>
          <w:lang w:val="en-US" w:eastAsia="zh-CN"/>
        </w:rPr>
        <w:t>包装纸生产</w:t>
      </w:r>
      <w:r>
        <w:rPr>
          <w:rFonts w:hint="eastAsia" w:ascii="Times New Roman" w:hAnsi="Times New Roman" w:eastAsia="宋体" w:cs="Times New Roman"/>
          <w:b w:val="0"/>
          <w:bCs w:val="0"/>
          <w:color w:val="auto"/>
          <w:sz w:val="24"/>
          <w:highlight w:val="none"/>
          <w:lang w:val="en-US" w:eastAsia="zh-CN"/>
        </w:rPr>
        <w:t>线已停产</w:t>
      </w:r>
      <w:r>
        <w:rPr>
          <w:rFonts w:hint="eastAsia" w:cs="Times New Roman"/>
          <w:b w:val="0"/>
          <w:bCs w:val="0"/>
          <w:color w:val="auto"/>
          <w:sz w:val="24"/>
          <w:highlight w:val="none"/>
          <w:lang w:val="en-US" w:eastAsia="zh-CN"/>
        </w:rPr>
        <w:t>，待改造项目环评审批后再进行生产</w:t>
      </w:r>
      <w:r>
        <w:rPr>
          <w:rFonts w:hint="eastAsia" w:ascii="Times New Roman" w:hAnsi="Times New Roman" w:eastAsia="宋体" w:cs="Times New Roman"/>
          <w:b w:val="0"/>
          <w:bCs w:val="0"/>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color w:val="auto"/>
          <w:highlight w:val="none"/>
          <w:lang w:eastAsia="zh-CN"/>
        </w:rPr>
        <w:t>大庆市李氏纸业制造有限责任公司在原址进行造纸项目</w:t>
      </w:r>
      <w:r>
        <w:rPr>
          <w:rFonts w:hint="eastAsia"/>
          <w:color w:val="auto"/>
          <w:highlight w:val="none"/>
          <w:lang w:val="en-US" w:eastAsia="zh-CN"/>
        </w:rPr>
        <w:t>改造</w:t>
      </w:r>
      <w:r>
        <w:rPr>
          <w:rFonts w:hint="eastAsia"/>
          <w:color w:val="auto"/>
          <w:highlight w:val="none"/>
          <w:lang w:eastAsia="zh-CN"/>
        </w:rPr>
        <w:t>。</w:t>
      </w:r>
      <w:r>
        <w:rPr>
          <w:rFonts w:hint="eastAsia"/>
          <w:color w:val="auto"/>
          <w:highlight w:val="none"/>
          <w:lang w:val="en-US" w:eastAsia="zh-CN"/>
        </w:rPr>
        <w:t>生产原料为</w:t>
      </w:r>
      <w:r>
        <w:rPr>
          <w:rFonts w:hint="eastAsia" w:ascii="Times New Roman" w:hAnsi="Times New Roman" w:eastAsia="宋体" w:cs="Times New Roman"/>
          <w:b w:val="0"/>
          <w:bCs w:val="0"/>
          <w:color w:val="auto"/>
          <w:sz w:val="24"/>
          <w:highlight w:val="none"/>
          <w:lang w:val="en-US" w:eastAsia="zh-CN"/>
        </w:rPr>
        <w:t>漂白针叶木浆和</w:t>
      </w:r>
      <w:r>
        <w:rPr>
          <w:rFonts w:hint="eastAsia" w:ascii="Times New Roman" w:cs="Times New Roman"/>
          <w:b w:val="0"/>
          <w:bCs w:val="0"/>
          <w:color w:val="auto"/>
          <w:sz w:val="24"/>
          <w:highlight w:val="none"/>
          <w:lang w:val="en-US" w:eastAsia="zh-CN"/>
        </w:rPr>
        <w:t>木浆成份纸板</w:t>
      </w:r>
      <w:r>
        <w:rPr>
          <w:rFonts w:hint="eastAsia" w:cs="Times New Roman"/>
          <w:b w:val="0"/>
          <w:bCs w:val="0"/>
          <w:color w:val="auto"/>
          <w:sz w:val="24"/>
          <w:highlight w:val="none"/>
          <w:lang w:val="en-US" w:eastAsia="zh-CN"/>
        </w:rPr>
        <w:t>，采用“碎浆+分离+磨浆+调浆+造纸”工艺，年生产</w:t>
      </w:r>
      <w:r>
        <w:rPr>
          <w:rFonts w:hint="eastAsia" w:ascii="Times New Roman" w:hAnsi="Times New Roman" w:eastAsia="宋体" w:cs="Times New Roman"/>
          <w:color w:val="auto"/>
          <w:highlight w:val="none"/>
          <w:lang w:val="en-US" w:eastAsia="zh-CN"/>
        </w:rPr>
        <w:t>薄页纸、特种纸</w:t>
      </w:r>
      <w:r>
        <w:rPr>
          <w:rFonts w:hint="eastAsia"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纸板</w:t>
      </w:r>
      <w:r>
        <w:rPr>
          <w:rFonts w:hint="eastAsia" w:cs="Times New Roman"/>
          <w:color w:val="auto"/>
          <w:highlight w:val="none"/>
          <w:lang w:val="en-US" w:eastAsia="zh-CN"/>
        </w:rPr>
        <w:t>共1万吨。</w:t>
      </w:r>
      <w:r>
        <w:rPr>
          <w:rFonts w:hint="eastAsia"/>
          <w:color w:val="auto"/>
          <w:highlight w:val="none"/>
          <w:lang w:eastAsia="zh-CN"/>
        </w:rPr>
        <w:t>原有</w:t>
      </w:r>
      <w:r>
        <w:rPr>
          <w:rFonts w:hint="eastAsia"/>
          <w:color w:val="auto"/>
          <w:highlight w:val="none"/>
          <w:lang w:val="en-US" w:eastAsia="zh-CN"/>
        </w:rPr>
        <w:t>6t/h燃煤锅炉改为生</w:t>
      </w:r>
      <w:r>
        <w:rPr>
          <w:rFonts w:hint="eastAsia" w:ascii="宋体" w:hAnsi="Times New Roman" w:eastAsia="宋体" w:cs="Times New Roman"/>
          <w:b w:val="0"/>
          <w:bCs w:val="0"/>
          <w:color w:val="auto"/>
          <w:sz w:val="24"/>
          <w:highlight w:val="none"/>
          <w:lang w:val="en-US" w:eastAsia="zh-CN"/>
        </w:rPr>
        <w:t>物质锅炉，水膜除尘改为袋式除尘，</w:t>
      </w:r>
      <w:r>
        <w:rPr>
          <w:rFonts w:hint="eastAsia" w:cs="Times New Roman"/>
          <w:b w:val="0"/>
          <w:bCs w:val="0"/>
          <w:color w:val="auto"/>
          <w:sz w:val="24"/>
          <w:highlight w:val="none"/>
          <w:lang w:val="en-US" w:eastAsia="zh-CN"/>
        </w:rPr>
        <w:t>生产废水由处理后排放改为回用于生产，</w:t>
      </w:r>
      <w:r>
        <w:rPr>
          <w:rFonts w:hint="eastAsia" w:ascii="宋体" w:hAnsi="Times New Roman" w:eastAsia="宋体" w:cs="Times New Roman"/>
          <w:b w:val="0"/>
          <w:bCs w:val="0"/>
          <w:color w:val="auto"/>
          <w:sz w:val="24"/>
          <w:highlight w:val="none"/>
          <w:lang w:val="en-US" w:eastAsia="zh-CN"/>
        </w:rPr>
        <w:t>其他配套工程及设施不变</w:t>
      </w:r>
      <w:r>
        <w:rPr>
          <w:rFonts w:hint="eastAsia"/>
          <w:color w:val="auto"/>
          <w:highlight w:val="none"/>
          <w:lang w:eastAsia="zh-CN"/>
        </w:rPr>
        <w:t>。本次</w:t>
      </w:r>
      <w:r>
        <w:rPr>
          <w:rFonts w:hint="eastAsia"/>
          <w:color w:val="auto"/>
          <w:highlight w:val="none"/>
          <w:lang w:val="en-US" w:eastAsia="zh-CN"/>
        </w:rPr>
        <w:t>改造</w:t>
      </w:r>
      <w:r>
        <w:rPr>
          <w:rFonts w:hint="eastAsia"/>
          <w:color w:val="auto"/>
          <w:highlight w:val="none"/>
          <w:lang w:eastAsia="zh-CN"/>
        </w:rPr>
        <w:t>项目未新增用地，也未增加生产规模。本项目技术改造完成后，不再生产卫生纸和包装纸。</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84" w:name="_bookmark50"/>
      <w:bookmarkEnd w:id="184"/>
      <w:bookmarkStart w:id="185" w:name="_bookmark50"/>
      <w:bookmarkEnd w:id="185"/>
      <w:bookmarkStart w:id="186" w:name="_Toc21388"/>
      <w:r>
        <w:rPr>
          <w:rFonts w:hint="eastAsia" w:ascii="Times New Roman" w:hAnsi="Times New Roman" w:eastAsia="宋体" w:cs="Times New Roman"/>
          <w:bCs w:val="0"/>
          <w:color w:val="auto"/>
          <w:szCs w:val="20"/>
          <w:highlight w:val="none"/>
          <w:lang w:val="en-US" w:eastAsia="zh-CN" w:bidi="ar-SA"/>
        </w:rPr>
        <w:t>3.2.1</w:t>
      </w:r>
      <w:r>
        <w:rPr>
          <w:rFonts w:ascii="Times New Roman" w:hAnsi="Times New Roman" w:eastAsia="宋体" w:cs="Times New Roman"/>
          <w:bCs w:val="0"/>
          <w:color w:val="auto"/>
          <w:szCs w:val="20"/>
          <w:highlight w:val="none"/>
          <w:lang w:val="en-US" w:bidi="ar-SA"/>
        </w:rPr>
        <w:t>改建项目概况</w:t>
      </w:r>
      <w:bookmarkEnd w:id="186"/>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187" w:name="_bookmark51"/>
      <w:bookmarkEnd w:id="187"/>
      <w:bookmarkStart w:id="188" w:name="_bookmark51"/>
      <w:bookmarkEnd w:id="188"/>
      <w:r>
        <w:rPr>
          <w:rFonts w:hint="eastAsia" w:ascii="Times New Roman" w:hAnsi="Times New Roman" w:eastAsia="宋体" w:cs="Times New Roman"/>
          <w:color w:val="auto"/>
          <w:sz w:val="24"/>
          <w:highlight w:val="none"/>
          <w:lang w:val="en-US" w:eastAsia="zh-CN"/>
        </w:rPr>
        <w:t>项目名称：</w:t>
      </w:r>
      <w:r>
        <w:rPr>
          <w:rFonts w:hint="eastAsia" w:ascii="Times New Roman" w:cs="Times New Roman"/>
          <w:color w:val="auto"/>
          <w:sz w:val="24"/>
          <w:highlight w:val="none"/>
          <w:lang w:val="en-US" w:eastAsia="zh-CN"/>
        </w:rPr>
        <w:t>大庆市大同区李氏纸业改建项目</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建设单位：大庆市李氏纸业制造有限责任公司。</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建设地点：</w:t>
      </w:r>
      <w:r>
        <w:rPr>
          <w:rFonts w:hint="eastAsia" w:ascii="Times New Roman" w:cs="Times New Roman"/>
          <w:color w:val="auto"/>
          <w:sz w:val="24"/>
          <w:highlight w:val="none"/>
          <w:lang w:val="en-US" w:eastAsia="zh-CN"/>
        </w:rPr>
        <w:t>黑龙江大同经济开发区纸业园区</w:t>
      </w:r>
      <w:r>
        <w:rPr>
          <w:rFonts w:hint="eastAsia" w:ascii="Times New Roman" w:hAnsi="Times New Roman" w:eastAsia="宋体" w:cs="Times New Roman"/>
          <w:color w:val="auto"/>
          <w:sz w:val="24"/>
          <w:highlight w:val="none"/>
          <w:lang w:val="en-US" w:eastAsia="zh-CN"/>
        </w:rPr>
        <w:t>内（厂址中心地标E124°43′0.223″，N45°55′28.251″）</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项目投资：2700万元，其中环保投资54万元，占总投资的2%。</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项目性质：</w:t>
      </w:r>
      <w:r>
        <w:rPr>
          <w:rFonts w:hint="eastAsia" w:cs="Times New Roman"/>
          <w:color w:val="auto"/>
          <w:sz w:val="24"/>
          <w:highlight w:val="none"/>
          <w:lang w:val="en-US" w:eastAsia="zh-CN"/>
        </w:rPr>
        <w:t>技术改造</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建设规模：对原有项目进行</w:t>
      </w:r>
      <w:r>
        <w:rPr>
          <w:rFonts w:hint="eastAsia" w:ascii="Times New Roman" w:cs="Times New Roman"/>
          <w:color w:val="auto"/>
          <w:sz w:val="24"/>
          <w:highlight w:val="none"/>
          <w:lang w:val="en-US" w:eastAsia="zh-CN"/>
        </w:rPr>
        <w:t>改建</w:t>
      </w:r>
      <w:r>
        <w:rPr>
          <w:rFonts w:hint="eastAsia" w:ascii="Times New Roman" w:hAnsi="Times New Roman" w:eastAsia="宋体" w:cs="Times New Roman"/>
          <w:color w:val="auto"/>
          <w:sz w:val="24"/>
          <w:highlight w:val="none"/>
          <w:lang w:val="en-US" w:eastAsia="zh-CN"/>
        </w:rPr>
        <w:t>，将4台1575型纸机更换为2台3500型纸机，</w:t>
      </w:r>
      <w:r>
        <w:rPr>
          <w:rFonts w:hint="eastAsia" w:cs="Times New Roman"/>
          <w:color w:val="auto"/>
          <w:sz w:val="24"/>
          <w:highlight w:val="none"/>
          <w:lang w:val="en-US" w:eastAsia="zh-CN"/>
        </w:rPr>
        <w:t>燃煤锅炉改为生物质燃料锅炉，锅炉烟气除尘设施由水膜除尘改为布袋除尘，</w:t>
      </w:r>
      <w:r>
        <w:rPr>
          <w:rFonts w:hint="eastAsia"/>
          <w:color w:val="auto"/>
          <w:lang w:val="en-US" w:eastAsia="zh-CN"/>
        </w:rPr>
        <w:t>生产废水由原来处理后直排改为处理后全部回用不外排</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以</w:t>
      </w:r>
      <w:r>
        <w:rPr>
          <w:rFonts w:hint="eastAsia" w:ascii="Times New Roman" w:hAnsi="Times New Roman" w:eastAsia="宋体" w:cs="Times New Roman"/>
          <w:b w:val="0"/>
          <w:bCs w:val="0"/>
          <w:color w:val="auto"/>
          <w:sz w:val="24"/>
          <w:highlight w:val="none"/>
          <w:lang w:val="en-US" w:eastAsia="zh-CN"/>
        </w:rPr>
        <w:t>漂白针叶木浆和</w:t>
      </w:r>
      <w:r>
        <w:rPr>
          <w:rFonts w:hint="eastAsia" w:ascii="Times New Roman" w:cs="Times New Roman"/>
          <w:b w:val="0"/>
          <w:bCs w:val="0"/>
          <w:color w:val="auto"/>
          <w:sz w:val="24"/>
          <w:highlight w:val="none"/>
          <w:lang w:val="en-US" w:eastAsia="zh-CN"/>
        </w:rPr>
        <w:t>木浆成份纸板</w:t>
      </w:r>
      <w:r>
        <w:rPr>
          <w:rFonts w:hint="eastAsia" w:cs="Times New Roman"/>
          <w:b w:val="0"/>
          <w:bCs w:val="0"/>
          <w:color w:val="auto"/>
          <w:sz w:val="24"/>
          <w:highlight w:val="none"/>
          <w:lang w:val="en-US" w:eastAsia="zh-CN"/>
        </w:rPr>
        <w:t>为原料，采用“碎浆+分离+磨浆+调浆+造纸”工艺，生产</w:t>
      </w:r>
      <w:r>
        <w:rPr>
          <w:rFonts w:hint="eastAsia" w:ascii="Times New Roman" w:hAnsi="Times New Roman" w:eastAsia="宋体" w:cs="Times New Roman"/>
          <w:color w:val="auto"/>
          <w:highlight w:val="none"/>
          <w:lang w:val="en-US" w:eastAsia="zh-CN"/>
        </w:rPr>
        <w:t>薄页纸、特种纸</w:t>
      </w:r>
      <w:r>
        <w:rPr>
          <w:rFonts w:hint="eastAsia"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纸板</w:t>
      </w:r>
      <w:r>
        <w:rPr>
          <w:rFonts w:hint="eastAsia" w:ascii="Times New Roman" w:cs="Times New Roman"/>
          <w:color w:val="auto"/>
          <w:highlight w:val="none"/>
          <w:lang w:val="en-US" w:eastAsia="zh-CN"/>
        </w:rPr>
        <w:t>，年生产能力</w:t>
      </w:r>
      <w:r>
        <w:rPr>
          <w:rFonts w:hint="eastAsia" w:cs="Times New Roman"/>
          <w:color w:val="auto"/>
          <w:highlight w:val="none"/>
          <w:lang w:val="en-US" w:eastAsia="zh-CN"/>
        </w:rPr>
        <w:t>1万吨。</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占地面积：项目总占地面积</w:t>
      </w:r>
      <w:r>
        <w:rPr>
          <w:rFonts w:hint="eastAsia" w:ascii="Times New Roman" w:cs="Times New Roman"/>
          <w:color w:val="auto"/>
          <w:sz w:val="24"/>
          <w:highlight w:val="none"/>
          <w:lang w:val="en-US" w:eastAsia="zh-CN"/>
        </w:rPr>
        <w:t>28343.9</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，建筑面积5000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劳动定员及工作制度：劳动定员15人；两班倒，每班12</w:t>
      </w:r>
      <w:r>
        <w:rPr>
          <w:rFonts w:hint="default"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color w:val="auto"/>
          <w:sz w:val="24"/>
          <w:highlight w:val="none"/>
          <w:lang w:val="en-US" w:eastAsia="zh-CN"/>
        </w:rPr>
        <w:t>，全年工作天数为</w:t>
      </w: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30天。本项目不设食堂和宿舍。</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建设周期：</w:t>
      </w:r>
      <w:r>
        <w:rPr>
          <w:rFonts w:hint="default" w:ascii="Times New Roman" w:hAnsi="Times New Roman" w:eastAsia="宋体" w:cs="Times New Roman"/>
          <w:color w:val="auto"/>
          <w:sz w:val="24"/>
          <w:highlight w:val="none"/>
          <w:lang w:val="en-US" w:eastAsia="zh-CN"/>
        </w:rPr>
        <w:t>20</w:t>
      </w:r>
      <w:r>
        <w:rPr>
          <w:rFonts w:hint="eastAsia" w:ascii="Times New Roman"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2年5月</w:t>
      </w:r>
      <w:r>
        <w:rPr>
          <w:rFonts w:hint="default" w:ascii="Times New Roman" w:hAnsi="Times New Roman" w:eastAsia="宋体" w:cs="Times New Roman"/>
          <w:color w:val="auto"/>
          <w:sz w:val="24"/>
          <w:highlight w:val="none"/>
          <w:lang w:val="en-US" w:eastAsia="zh-CN"/>
        </w:rPr>
        <w:t>-20</w:t>
      </w:r>
      <w:r>
        <w:rPr>
          <w:rFonts w:hint="eastAsia" w:asci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年</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val="en-US" w:eastAsia="zh-CN"/>
        </w:rPr>
        <w:t>月，施工期</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个月。</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89" w:name="_Toc12118"/>
      <w:r>
        <w:rPr>
          <w:rFonts w:hint="eastAsia" w:ascii="Times New Roman" w:hAnsi="Times New Roman" w:eastAsia="宋体" w:cs="Times New Roman"/>
          <w:bCs w:val="0"/>
          <w:color w:val="auto"/>
          <w:szCs w:val="20"/>
          <w:highlight w:val="none"/>
          <w:lang w:val="en-US" w:eastAsia="zh-CN" w:bidi="ar-SA"/>
        </w:rPr>
        <w:t>3.2.2</w:t>
      </w:r>
      <w:r>
        <w:rPr>
          <w:rFonts w:hint="eastAsia" w:ascii="Times New Roman" w:hAnsi="Times New Roman" w:cs="Times New Roman"/>
          <w:bCs w:val="0"/>
          <w:color w:val="auto"/>
          <w:szCs w:val="20"/>
          <w:highlight w:val="none"/>
          <w:lang w:val="en-US" w:eastAsia="zh-CN" w:bidi="ar-SA"/>
        </w:rPr>
        <w:t>改建</w:t>
      </w:r>
      <w:r>
        <w:rPr>
          <w:rFonts w:ascii="Times New Roman" w:hAnsi="Times New Roman" w:eastAsia="宋体" w:cs="Times New Roman"/>
          <w:bCs w:val="0"/>
          <w:color w:val="auto"/>
          <w:szCs w:val="20"/>
          <w:highlight w:val="none"/>
          <w:lang w:val="en-US" w:bidi="ar-SA"/>
        </w:rPr>
        <w:t>项目组成和厂区平面布置</w:t>
      </w:r>
      <w:bookmarkEnd w:id="189"/>
    </w:p>
    <w:p>
      <w:pPr>
        <w:bidi w:val="0"/>
        <w:spacing w:line="500" w:lineRule="exact"/>
        <w:ind w:firstLine="480" w:firstLineChars="2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本次</w:t>
      </w:r>
      <w:r>
        <w:rPr>
          <w:rFonts w:hint="eastAsia" w:ascii="Times New Roman" w:cs="Times New Roman"/>
          <w:color w:val="auto"/>
          <w:sz w:val="24"/>
          <w:highlight w:val="none"/>
          <w:lang w:val="en-US" w:eastAsia="zh-CN"/>
        </w:rPr>
        <w:t>改造</w:t>
      </w:r>
      <w:r>
        <w:rPr>
          <w:rFonts w:hint="eastAsia" w:ascii="Times New Roman" w:hAnsi="Times New Roman" w:eastAsia="宋体" w:cs="Times New Roman"/>
          <w:color w:val="auto"/>
          <w:sz w:val="24"/>
          <w:highlight w:val="none"/>
          <w:lang w:val="en-US" w:eastAsia="zh-CN"/>
        </w:rPr>
        <w:t>工程，拆除了原生产车间</w:t>
      </w:r>
      <w:r>
        <w:rPr>
          <w:rFonts w:hint="eastAsia" w:cs="Times New Roman"/>
          <w:color w:val="auto"/>
          <w:sz w:val="24"/>
          <w:highlight w:val="none"/>
          <w:lang w:val="en-US" w:eastAsia="zh-CN"/>
        </w:rPr>
        <w:t>内的四台1575型</w:t>
      </w:r>
      <w:r>
        <w:rPr>
          <w:rFonts w:hint="eastAsia" w:ascii="Times New Roman" w:hAnsi="Times New Roman" w:eastAsia="宋体" w:cs="Times New Roman"/>
          <w:color w:val="auto"/>
          <w:sz w:val="24"/>
          <w:highlight w:val="none"/>
          <w:lang w:val="en-US" w:eastAsia="zh-CN"/>
        </w:rPr>
        <w:t>纸机</w:t>
      </w:r>
      <w:r>
        <w:rPr>
          <w:rFonts w:hint="eastAsia" w:cs="Times New Roman"/>
          <w:color w:val="auto"/>
          <w:sz w:val="24"/>
          <w:highlight w:val="none"/>
          <w:lang w:val="en-US" w:eastAsia="zh-CN"/>
        </w:rPr>
        <w:t>（属于国家</w:t>
      </w:r>
      <w:r>
        <w:rPr>
          <w:rFonts w:hint="eastAsia" w:ascii="Times New Roman" w:hAnsi="Times New Roman" w:eastAsia="宋体" w:cs="Times New Roman"/>
          <w:color w:val="auto"/>
          <w:sz w:val="24"/>
          <w:highlight w:val="none"/>
          <w:lang w:val="en-US" w:eastAsia="zh-CN"/>
        </w:rPr>
        <w:t>淘汰</w:t>
      </w:r>
      <w:r>
        <w:rPr>
          <w:rFonts w:hint="eastAsia" w:cs="Times New Roman"/>
          <w:color w:val="auto"/>
          <w:sz w:val="24"/>
          <w:highlight w:val="none"/>
          <w:lang w:val="en-US" w:eastAsia="zh-CN"/>
        </w:rPr>
        <w:t>设施）</w:t>
      </w:r>
      <w:r>
        <w:rPr>
          <w:rFonts w:hint="eastAsia" w:ascii="Times New Roman" w:hAnsi="Times New Roman" w:eastAsia="宋体" w:cs="Times New Roman"/>
          <w:color w:val="auto"/>
          <w:sz w:val="24"/>
          <w:highlight w:val="none"/>
          <w:lang w:val="en-US" w:eastAsia="zh-CN"/>
        </w:rPr>
        <w:t>，更换为2台3500型纸机</w:t>
      </w:r>
      <w:r>
        <w:rPr>
          <w:rFonts w:hint="eastAsia" w:cs="Times New Roman"/>
          <w:color w:val="auto"/>
          <w:sz w:val="24"/>
          <w:highlight w:val="none"/>
          <w:lang w:val="en-US" w:eastAsia="zh-CN"/>
        </w:rPr>
        <w:t>，锅炉房内1台</w:t>
      </w:r>
      <w:r>
        <w:rPr>
          <w:rFonts w:hint="eastAsia" w:ascii="Times New Roman" w:hAnsi="Times New Roman" w:eastAsia="宋体" w:cs="Times New Roman"/>
          <w:color w:val="auto"/>
          <w:sz w:val="24"/>
          <w:highlight w:val="none"/>
          <w:lang w:val="en-US" w:eastAsia="zh-CN"/>
        </w:rPr>
        <w:t>6t/h</w:t>
      </w:r>
      <w:r>
        <w:rPr>
          <w:rFonts w:hint="eastAsia" w:cs="Times New Roman"/>
          <w:color w:val="auto"/>
          <w:sz w:val="24"/>
          <w:highlight w:val="none"/>
          <w:lang w:val="en-US" w:eastAsia="zh-CN"/>
        </w:rPr>
        <w:t>燃煤锅炉</w:t>
      </w:r>
      <w:r>
        <w:rPr>
          <w:rFonts w:hint="eastAsia" w:ascii="Times New Roman" w:hAnsi="Times New Roman" w:eastAsia="宋体" w:cs="Times New Roman"/>
          <w:color w:val="auto"/>
          <w:sz w:val="24"/>
          <w:highlight w:val="none"/>
          <w:lang w:val="en-US" w:eastAsia="zh-CN"/>
        </w:rPr>
        <w:t>改</w:t>
      </w:r>
      <w:r>
        <w:rPr>
          <w:rFonts w:hint="eastAsia" w:cs="Times New Roman"/>
          <w:color w:val="auto"/>
          <w:sz w:val="24"/>
          <w:highlight w:val="none"/>
          <w:lang w:val="en-US" w:eastAsia="zh-CN"/>
        </w:rPr>
        <w:t>建为</w:t>
      </w:r>
      <w:r>
        <w:rPr>
          <w:rFonts w:hint="eastAsia" w:ascii="Times New Roman" w:hAnsi="Times New Roman" w:eastAsia="宋体" w:cs="Times New Roman"/>
          <w:color w:val="auto"/>
          <w:sz w:val="24"/>
          <w:highlight w:val="none"/>
          <w:lang w:val="en-US" w:eastAsia="zh-CN"/>
        </w:rPr>
        <w:t>锅炉房</w:t>
      </w:r>
      <w:r>
        <w:rPr>
          <w:rFonts w:hint="eastAsia" w:cs="Times New Roman"/>
          <w:color w:val="auto"/>
          <w:sz w:val="24"/>
          <w:highlight w:val="none"/>
          <w:lang w:val="en-US" w:eastAsia="zh-CN"/>
        </w:rPr>
        <w:t>1台</w:t>
      </w:r>
      <w:r>
        <w:rPr>
          <w:rFonts w:hint="eastAsia" w:ascii="Times New Roman" w:hAnsi="Times New Roman" w:eastAsia="宋体" w:cs="Times New Roman"/>
          <w:color w:val="auto"/>
          <w:sz w:val="24"/>
          <w:highlight w:val="none"/>
          <w:lang w:val="en-US" w:eastAsia="zh-CN"/>
        </w:rPr>
        <w:t>6t/h生物质锅炉</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锅炉烟气</w:t>
      </w:r>
      <w:r>
        <w:rPr>
          <w:rFonts w:hint="eastAsia" w:cs="Times New Roman"/>
          <w:color w:val="auto"/>
          <w:sz w:val="24"/>
          <w:highlight w:val="none"/>
          <w:lang w:val="en-US" w:eastAsia="zh-CN"/>
        </w:rPr>
        <w:t>除尘设施由</w:t>
      </w:r>
      <w:r>
        <w:rPr>
          <w:rFonts w:hint="eastAsia" w:ascii="Times New Roman" w:hAnsi="Times New Roman" w:eastAsia="宋体" w:cs="Times New Roman"/>
          <w:color w:val="auto"/>
          <w:sz w:val="24"/>
          <w:highlight w:val="none"/>
          <w:lang w:val="en-US" w:eastAsia="zh-CN"/>
        </w:rPr>
        <w:t>水膜除尘</w:t>
      </w:r>
      <w:r>
        <w:rPr>
          <w:rFonts w:hint="eastAsia" w:cs="Times New Roman"/>
          <w:color w:val="auto"/>
          <w:sz w:val="24"/>
          <w:highlight w:val="none"/>
          <w:lang w:val="en-US" w:eastAsia="zh-CN"/>
        </w:rPr>
        <w:t>改为</w:t>
      </w:r>
      <w:r>
        <w:rPr>
          <w:rFonts w:hint="eastAsia" w:ascii="Times New Roman" w:hAnsi="Times New Roman" w:eastAsia="宋体" w:cs="Times New Roman"/>
          <w:color w:val="auto"/>
          <w:sz w:val="24"/>
          <w:highlight w:val="none"/>
          <w:lang w:val="en-US" w:eastAsia="zh-CN"/>
        </w:rPr>
        <w:t>袋式除尘</w:t>
      </w:r>
      <w:r>
        <w:rPr>
          <w:rFonts w:hint="eastAsia" w:cs="Times New Roman"/>
          <w:color w:val="auto"/>
          <w:sz w:val="24"/>
          <w:highlight w:val="none"/>
          <w:lang w:val="en-US" w:eastAsia="zh-CN"/>
        </w:rPr>
        <w:t>器</w:t>
      </w:r>
      <w:r>
        <w:rPr>
          <w:rFonts w:hint="eastAsia" w:ascii="Times New Roman" w:hAnsi="Times New Roman" w:eastAsia="宋体" w:cs="Times New Roman"/>
          <w:color w:val="auto"/>
          <w:sz w:val="24"/>
          <w:highlight w:val="none"/>
          <w:lang w:val="en-US" w:eastAsia="zh-CN"/>
        </w:rPr>
        <w:t>，依托原有原料库、成品库、污水处理站和办公楼。</w:t>
      </w:r>
      <w:r>
        <w:rPr>
          <w:rFonts w:ascii="Times New Roman" w:hAnsi="Times New Roman" w:eastAsia="宋体" w:cs="Times New Roman"/>
          <w:bCs w:val="0"/>
          <w:color w:val="auto"/>
          <w:szCs w:val="20"/>
          <w:highlight w:val="none"/>
          <w:lang w:val="en-US" w:bidi="ar-SA"/>
        </w:rPr>
        <w:t>厂区平面布置</w:t>
      </w:r>
      <w:r>
        <w:rPr>
          <w:rFonts w:hint="eastAsia" w:cs="Times New Roman"/>
          <w:bCs w:val="0"/>
          <w:color w:val="auto"/>
          <w:szCs w:val="20"/>
          <w:highlight w:val="none"/>
          <w:lang w:val="en-US" w:eastAsia="zh-CN" w:bidi="ar-SA"/>
        </w:rPr>
        <w:t>见3.1.3章节内容及</w:t>
      </w:r>
      <w:r>
        <w:rPr>
          <w:rFonts w:hint="eastAsia" w:ascii="Times New Roman" w:hAnsi="Times New Roman" w:eastAsia="宋体" w:cs="Times New Roman"/>
          <w:color w:val="auto"/>
          <w:sz w:val="24"/>
          <w:highlight w:val="none"/>
          <w:lang w:eastAsia="zh-CN"/>
        </w:rPr>
        <w:t>附图</w:t>
      </w: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 xml:space="preserve">表3.2.2-1                   </w:t>
      </w:r>
      <w:r>
        <w:rPr>
          <w:rFonts w:hint="eastAsia" w:cs="Times New Roman"/>
          <w:color w:val="auto"/>
          <w:sz w:val="24"/>
          <w:highlight w:val="none"/>
          <w:lang w:val="en-US" w:eastAsia="zh-CN"/>
        </w:rPr>
        <w:t>改建</w:t>
      </w:r>
      <w:r>
        <w:rPr>
          <w:rFonts w:hint="eastAsia" w:ascii="Times New Roman" w:hAnsi="Times New Roman" w:eastAsia="宋体" w:cs="Times New Roman"/>
          <w:color w:val="auto"/>
          <w:sz w:val="24"/>
          <w:highlight w:val="none"/>
          <w:lang w:val="en-US" w:eastAsia="zh-CN"/>
        </w:rPr>
        <w:t>项目组成一览表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544"/>
        <w:gridCol w:w="548"/>
        <w:gridCol w:w="2594"/>
        <w:gridCol w:w="2037"/>
        <w:gridCol w:w="3018"/>
        <w:gridCol w:w="548"/>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bookmarkStart w:id="190" w:name="OLE_LINK1"/>
            <w:r>
              <w:rPr>
                <w:rFonts w:ascii="Times New Roman" w:hAnsi="Times New Roman" w:eastAsia="宋体" w:cs="Times New Roman"/>
                <w:caps w:val="0"/>
                <w:smallCaps w:val="0"/>
                <w:color w:val="auto"/>
                <w:spacing w:val="0"/>
                <w:w w:val="100"/>
                <w:position w:val="0"/>
                <w:sz w:val="21"/>
                <w:szCs w:val="21"/>
                <w:highlight w:val="none"/>
              </w:rPr>
              <w:t>类别</w:t>
            </w:r>
          </w:p>
        </w:tc>
        <w:tc>
          <w:tcPr>
            <w:tcW w:w="29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建设设施</w:t>
            </w:r>
          </w:p>
        </w:tc>
        <w:tc>
          <w:tcPr>
            <w:tcW w:w="4116"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工程内容</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原有工程</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本次改</w:t>
            </w:r>
            <w:r>
              <w:rPr>
                <w:rFonts w:hint="eastAsia" w:ascii="Times New Roman" w:cs="Times New Roman"/>
                <w:caps w:val="0"/>
                <w:smallCaps w:val="0"/>
                <w:color w:val="auto"/>
                <w:spacing w:val="0"/>
                <w:w w:val="100"/>
                <w:position w:val="0"/>
                <w:sz w:val="21"/>
                <w:szCs w:val="21"/>
                <w:highlight w:val="none"/>
                <w:lang w:val="en-US" w:eastAsia="zh-CN"/>
              </w:rPr>
              <w:t>造</w:t>
            </w:r>
            <w:r>
              <w:rPr>
                <w:rFonts w:hint="eastAsia" w:ascii="Times New Roman" w:hAnsi="Times New Roman" w:eastAsia="宋体" w:cs="Times New Roman"/>
                <w:caps w:val="0"/>
                <w:smallCaps w:val="0"/>
                <w:color w:val="auto"/>
                <w:spacing w:val="0"/>
                <w:w w:val="100"/>
                <w:position w:val="0"/>
                <w:sz w:val="21"/>
                <w:szCs w:val="21"/>
                <w:highlight w:val="none"/>
                <w:lang w:eastAsia="zh-CN"/>
              </w:rPr>
              <w:t>工程</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val="en-US" w:eastAsia="zh-CN"/>
              </w:rPr>
              <w:t>现有工程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主体工程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lang w:val="ru-RU"/>
              </w:rPr>
              <w:t>生产车间</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占地面积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w:t>
            </w:r>
            <w:r>
              <w:rPr>
                <w:rFonts w:hint="eastAsia" w:cs="Times New Roman"/>
                <w:caps w:val="0"/>
                <w:smallCaps w:val="0"/>
                <w:color w:val="auto"/>
                <w:spacing w:val="0"/>
                <w:w w:val="100"/>
                <w:position w:val="0"/>
                <w:sz w:val="21"/>
                <w:szCs w:val="21"/>
                <w:highlight w:val="none"/>
                <w:lang w:eastAsia="zh-CN"/>
              </w:rPr>
              <w:t>建筑</w:t>
            </w:r>
            <w:r>
              <w:rPr>
                <w:rFonts w:hint="eastAsia" w:ascii="Times New Roman" w:hAnsi="Times New Roman" w:eastAsia="宋体" w:cs="Times New Roman"/>
                <w:caps w:val="0"/>
                <w:smallCaps w:val="0"/>
                <w:color w:val="auto"/>
                <w:spacing w:val="0"/>
                <w:w w:val="100"/>
                <w:position w:val="0"/>
                <w:sz w:val="21"/>
                <w:szCs w:val="21"/>
                <w:highlight w:val="none"/>
                <w:lang w:eastAsia="zh-CN"/>
              </w:rPr>
              <w:t>面积</w:t>
            </w:r>
            <w:r>
              <w:rPr>
                <w:rFonts w:hint="eastAsia" w:cs="Times New Roman"/>
                <w:caps w:val="0"/>
                <w:smallCaps w:val="0"/>
                <w:color w:val="auto"/>
                <w:spacing w:val="0"/>
                <w:w w:val="100"/>
                <w:position w:val="0"/>
                <w:sz w:val="21"/>
                <w:szCs w:val="21"/>
                <w:highlight w:val="none"/>
                <w:lang w:val="en-US" w:eastAsia="zh-CN"/>
              </w:rPr>
              <w:t>2500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r>
              <w:rPr>
                <w:rFonts w:hint="eastAsia" w:cs="Times New Roman"/>
                <w:caps w:val="0"/>
                <w:smallCaps w:val="0"/>
                <w:color w:val="auto"/>
                <w:spacing w:val="0"/>
                <w:w w:val="100"/>
                <w:position w:val="0"/>
                <w:sz w:val="21"/>
                <w:szCs w:val="21"/>
                <w:highlight w:val="none"/>
                <w:lang w:eastAsia="zh-CN"/>
              </w:rPr>
              <w:t>以漂白针叶木浆和</w:t>
            </w:r>
            <w:r>
              <w:rPr>
                <w:rFonts w:hint="eastAsia" w:cs="Times New Roman"/>
                <w:caps w:val="0"/>
                <w:smallCaps w:val="0"/>
                <w:color w:val="auto"/>
                <w:spacing w:val="0"/>
                <w:w w:val="100"/>
                <w:position w:val="0"/>
                <w:sz w:val="21"/>
                <w:szCs w:val="21"/>
                <w:highlight w:val="none"/>
                <w:lang w:val="en-US" w:eastAsia="zh-CN"/>
              </w:rPr>
              <w:t>白纸边</w:t>
            </w:r>
            <w:r>
              <w:rPr>
                <w:rFonts w:hint="eastAsia" w:cs="Times New Roman"/>
                <w:caps w:val="0"/>
                <w:smallCaps w:val="0"/>
                <w:color w:val="auto"/>
                <w:spacing w:val="0"/>
                <w:w w:val="100"/>
                <w:position w:val="0"/>
                <w:sz w:val="21"/>
                <w:szCs w:val="21"/>
                <w:highlight w:val="none"/>
                <w:lang w:eastAsia="zh-CN"/>
              </w:rPr>
              <w:t>为原料，</w:t>
            </w:r>
            <w:r>
              <w:rPr>
                <w:rFonts w:hint="eastAsia" w:cs="Times New Roman"/>
                <w:color w:val="auto"/>
                <w:spacing w:val="0"/>
                <w:w w:val="100"/>
                <w:position w:val="0"/>
                <w:sz w:val="21"/>
                <w:szCs w:val="21"/>
                <w:highlight w:val="none"/>
                <w:lang w:eastAsia="zh-CN"/>
              </w:rPr>
              <w:t>年</w:t>
            </w:r>
            <w:r>
              <w:rPr>
                <w:rFonts w:ascii="Times New Roman" w:hAnsi="Times New Roman" w:eastAsia="宋体" w:cs="Times New Roman"/>
                <w:caps w:val="0"/>
                <w:smallCaps w:val="0"/>
                <w:color w:val="auto"/>
                <w:spacing w:val="0"/>
                <w:w w:val="100"/>
                <w:position w:val="0"/>
                <w:sz w:val="21"/>
                <w:szCs w:val="21"/>
                <w:highlight w:val="none"/>
              </w:rPr>
              <w:t>产1万吨</w:t>
            </w:r>
            <w:r>
              <w:rPr>
                <w:rFonts w:hint="eastAsia" w:cs="Times New Roman"/>
                <w:caps w:val="0"/>
                <w:smallCaps w:val="0"/>
                <w:color w:val="auto"/>
                <w:spacing w:val="0"/>
                <w:w w:val="100"/>
                <w:position w:val="0"/>
                <w:sz w:val="21"/>
                <w:szCs w:val="21"/>
                <w:highlight w:val="none"/>
                <w:lang w:eastAsia="zh-CN"/>
              </w:rPr>
              <w:t>生活用纸</w:t>
            </w:r>
            <w:r>
              <w:rPr>
                <w:rFonts w:hint="eastAsia" w:cs="Times New Roman"/>
                <w:color w:val="auto"/>
                <w:spacing w:val="0"/>
                <w:w w:val="100"/>
                <w:position w:val="0"/>
                <w:sz w:val="21"/>
                <w:szCs w:val="21"/>
                <w:highlight w:val="none"/>
                <w:lang w:eastAsia="zh-CN"/>
              </w:rPr>
              <w:t>生产</w:t>
            </w:r>
            <w:r>
              <w:rPr>
                <w:rFonts w:ascii="Times New Roman" w:hAnsi="Times New Roman" w:eastAsia="宋体" w:cs="Times New Roman"/>
                <w:caps w:val="0"/>
                <w:smallCaps w:val="0"/>
                <w:color w:val="auto"/>
                <w:spacing w:val="0"/>
                <w:w w:val="100"/>
                <w:position w:val="0"/>
                <w:sz w:val="21"/>
                <w:szCs w:val="21"/>
                <w:highlight w:val="none"/>
              </w:rPr>
              <w:t>生产线</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cs="Times New Roman"/>
                <w:caps w:val="0"/>
                <w:smallCaps w:val="0"/>
                <w:color w:val="auto"/>
                <w:spacing w:val="0"/>
                <w:w w:val="100"/>
                <w:position w:val="0"/>
                <w:sz w:val="21"/>
                <w:szCs w:val="21"/>
                <w:highlight w:val="none"/>
                <w:lang w:val="en-US" w:eastAsia="zh-CN"/>
              </w:rPr>
              <w:t>生产车间</w:t>
            </w:r>
            <w:r>
              <w:rPr>
                <w:rFonts w:ascii="Times New Roman" w:hAnsi="Times New Roman" w:eastAsia="宋体" w:cs="Times New Roman"/>
                <w:caps w:val="0"/>
                <w:smallCaps w:val="0"/>
                <w:color w:val="auto"/>
                <w:spacing w:val="0"/>
                <w:w w:val="100"/>
                <w:position w:val="0"/>
                <w:sz w:val="21"/>
                <w:szCs w:val="21"/>
                <w:highlight w:val="none"/>
              </w:rPr>
              <w:t>内</w:t>
            </w:r>
            <w:r>
              <w:rPr>
                <w:rFonts w:hint="eastAsia" w:cs="Times New Roman"/>
                <w:caps w:val="0"/>
                <w:smallCaps w:val="0"/>
                <w:color w:val="auto"/>
                <w:spacing w:val="0"/>
                <w:w w:val="100"/>
                <w:position w:val="0"/>
                <w:sz w:val="21"/>
                <w:szCs w:val="21"/>
                <w:highlight w:val="none"/>
                <w:lang w:eastAsia="zh-CN"/>
              </w:rPr>
              <w:t>建设</w:t>
            </w:r>
            <w:r>
              <w:rPr>
                <w:rFonts w:ascii="Times New Roman" w:hAnsi="Times New Roman" w:eastAsia="宋体" w:cs="Times New Roman"/>
                <w:caps w:val="0"/>
                <w:smallCaps w:val="0"/>
                <w:color w:val="auto"/>
                <w:spacing w:val="0"/>
                <w:w w:val="100"/>
                <w:position w:val="0"/>
                <w:sz w:val="21"/>
                <w:szCs w:val="21"/>
                <w:highlight w:val="none"/>
              </w:rPr>
              <w:t>碎浆机、除砂机、纤维分离机、压力筛、磨浆机、纸机</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cs="Times New Roman"/>
                <w:caps w:val="0"/>
                <w:smallCaps w:val="0"/>
                <w:color w:val="auto"/>
                <w:spacing w:val="0"/>
                <w:w w:val="100"/>
                <w:position w:val="0"/>
                <w:sz w:val="21"/>
                <w:szCs w:val="21"/>
                <w:highlight w:val="none"/>
                <w:lang w:val="en-US" w:eastAsia="zh-CN"/>
              </w:rPr>
              <w:t>4台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1575型</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、切纸机</w:t>
            </w:r>
            <w:r>
              <w:rPr>
                <w:rFonts w:hint="eastAsia"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复卷机等生产设备，</w:t>
            </w:r>
            <w:r>
              <w:rPr>
                <w:rFonts w:hint="eastAsia" w:cs="Times New Roman"/>
                <w:caps w:val="0"/>
                <w:smallCaps w:val="0"/>
                <w:color w:val="auto"/>
                <w:spacing w:val="0"/>
                <w:w w:val="100"/>
                <w:position w:val="0"/>
                <w:sz w:val="21"/>
                <w:szCs w:val="21"/>
                <w:highlight w:val="none"/>
                <w:lang w:eastAsia="zh-CN"/>
              </w:rPr>
              <w:t>建设</w:t>
            </w:r>
            <w:r>
              <w:rPr>
                <w:rFonts w:ascii="Times New Roman" w:hAnsi="Times New Roman" w:eastAsia="宋体" w:cs="Times New Roman"/>
                <w:caps w:val="0"/>
                <w:smallCaps w:val="0"/>
                <w:color w:val="auto"/>
                <w:spacing w:val="0"/>
                <w:w w:val="100"/>
                <w:position w:val="0"/>
                <w:sz w:val="21"/>
                <w:szCs w:val="21"/>
                <w:highlight w:val="none"/>
              </w:rPr>
              <w:t>料浆池4座，混凝土结构，单座尺寸4m×4m×4m，总容积256m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r>
              <w:rPr>
                <w:rFonts w:hint="eastAsia" w:cs="Times New Roman"/>
                <w:caps w:val="0"/>
                <w:smallCaps w:val="0"/>
                <w:color w:val="auto"/>
                <w:spacing w:val="0"/>
                <w:w w:val="100"/>
                <w:position w:val="0"/>
                <w:sz w:val="21"/>
                <w:szCs w:val="21"/>
                <w:highlight w:val="none"/>
                <w:lang w:eastAsia="zh-CN"/>
              </w:rPr>
              <w:t>建设</w:t>
            </w:r>
            <w:r>
              <w:rPr>
                <w:rFonts w:ascii="Times New Roman" w:hAnsi="Times New Roman" w:eastAsia="宋体" w:cs="Times New Roman"/>
                <w:caps w:val="0"/>
                <w:smallCaps w:val="0"/>
                <w:color w:val="auto"/>
                <w:spacing w:val="0"/>
                <w:w w:val="100"/>
                <w:position w:val="0"/>
                <w:sz w:val="21"/>
                <w:szCs w:val="21"/>
                <w:highlight w:val="none"/>
              </w:rPr>
              <w:t>调浆池</w:t>
            </w:r>
            <w:r>
              <w:rPr>
                <w:rFonts w:hint="eastAsia" w:ascii="Times New Roman" w:hAnsi="Times New Roman" w:eastAsia="宋体" w:cs="Times New Roman"/>
                <w:caps w:val="0"/>
                <w:smallCaps w:val="0"/>
                <w:color w:val="auto"/>
                <w:spacing w:val="0"/>
                <w:w w:val="100"/>
                <w:position w:val="0"/>
                <w:sz w:val="21"/>
                <w:szCs w:val="21"/>
                <w:highlight w:val="none"/>
              </w:rPr>
              <w:t>1</w:t>
            </w:r>
            <w:r>
              <w:rPr>
                <w:rFonts w:ascii="Times New Roman" w:hAnsi="Times New Roman" w:eastAsia="宋体" w:cs="Times New Roman"/>
                <w:caps w:val="0"/>
                <w:smallCaps w:val="0"/>
                <w:color w:val="auto"/>
                <w:spacing w:val="0"/>
                <w:w w:val="100"/>
                <w:position w:val="0"/>
                <w:sz w:val="21"/>
                <w:szCs w:val="21"/>
                <w:highlight w:val="none"/>
              </w:rPr>
              <w:t>座，混凝土结构，单座尺寸4m×4m×</w:t>
            </w:r>
            <w:r>
              <w:rPr>
                <w:rFonts w:hint="eastAsia" w:ascii="Times New Roman" w:hAnsi="Times New Roman" w:eastAsia="宋体" w:cs="Times New Roman"/>
                <w:caps w:val="0"/>
                <w:smallCaps w:val="0"/>
                <w:color w:val="auto"/>
                <w:spacing w:val="0"/>
                <w:w w:val="100"/>
                <w:position w:val="0"/>
                <w:sz w:val="21"/>
                <w:szCs w:val="21"/>
                <w:highlight w:val="none"/>
              </w:rPr>
              <w:t>3.5</w:t>
            </w:r>
            <w:r>
              <w:rPr>
                <w:rFonts w:ascii="Times New Roman" w:hAnsi="Times New Roman" w:eastAsia="宋体" w:cs="Times New Roman"/>
                <w:caps w:val="0"/>
                <w:smallCaps w:val="0"/>
                <w:color w:val="auto"/>
                <w:spacing w:val="0"/>
                <w:w w:val="100"/>
                <w:position w:val="0"/>
                <w:sz w:val="21"/>
                <w:szCs w:val="21"/>
                <w:highlight w:val="none"/>
              </w:rPr>
              <w:t>m，总容积</w:t>
            </w:r>
            <w:r>
              <w:rPr>
                <w:rFonts w:hint="eastAsia" w:ascii="Times New Roman" w:hAnsi="Times New Roman" w:eastAsia="宋体" w:cs="Times New Roman"/>
                <w:caps w:val="0"/>
                <w:smallCaps w:val="0"/>
                <w:color w:val="auto"/>
                <w:spacing w:val="0"/>
                <w:w w:val="100"/>
                <w:position w:val="0"/>
                <w:sz w:val="21"/>
                <w:szCs w:val="21"/>
                <w:highlight w:val="none"/>
              </w:rPr>
              <w:t>56</w:t>
            </w:r>
            <w:r>
              <w:rPr>
                <w:rFonts w:ascii="Times New Roman" w:hAnsi="Times New Roman" w:eastAsia="宋体" w:cs="Times New Roman"/>
                <w:caps w:val="0"/>
                <w:smallCaps w:val="0"/>
                <w:color w:val="auto"/>
                <w:spacing w:val="0"/>
                <w:w w:val="100"/>
                <w:position w:val="0"/>
                <w:sz w:val="21"/>
                <w:szCs w:val="21"/>
                <w:highlight w:val="none"/>
              </w:rPr>
              <w:t>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hint="eastAsia" w:cs="Times New Roman"/>
                <w:caps w:val="0"/>
                <w:smallCaps w:val="0"/>
                <w:color w:val="auto"/>
                <w:spacing w:val="0"/>
                <w:w w:val="100"/>
                <w:position w:val="0"/>
                <w:sz w:val="21"/>
                <w:szCs w:val="21"/>
                <w:highlight w:val="none"/>
                <w:lang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以漂白针叶木浆和木浆成份纸板为原料，年生产薄页纸、特种纸、纸板共1万吨；</w:t>
            </w:r>
            <w:r>
              <w:rPr>
                <w:rFonts w:hint="eastAsia" w:ascii="Times New Roman" w:hAnsi="Times New Roman" w:eastAsia="宋体" w:cs="Times New Roman"/>
                <w:caps w:val="0"/>
                <w:smallCaps w:val="0"/>
                <w:color w:val="auto"/>
                <w:spacing w:val="0"/>
                <w:w w:val="100"/>
                <w:position w:val="0"/>
                <w:sz w:val="21"/>
                <w:szCs w:val="21"/>
                <w:highlight w:val="none"/>
              </w:rPr>
              <w:t>4台1575型纸机更换为2台3500型纸机</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宽幅3600mm，抄作定量16-30g/m</w:t>
            </w:r>
            <w:r>
              <w:rPr>
                <w:rFonts w:hint="eastAsia"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rPr>
              <w:t>，车速180-200m/分</w:t>
            </w:r>
            <w:r>
              <w:rPr>
                <w:rFonts w:hint="eastAsia" w:cs="Times New Roman"/>
                <w:caps w:val="0"/>
                <w:smallCaps w:val="0"/>
                <w:color w:val="auto"/>
                <w:spacing w:val="0"/>
                <w:w w:val="100"/>
                <w:position w:val="0"/>
                <w:sz w:val="21"/>
                <w:szCs w:val="21"/>
                <w:highlight w:val="none"/>
                <w:lang w:eastAsia="zh-CN"/>
              </w:rPr>
              <w:t>）、燃煤锅炉更换为燃生物质锅炉并配套布袋除尘器。其他均依托现有工程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不变</w:t>
            </w:r>
            <w:r>
              <w:rPr>
                <w:rFonts w:hint="eastAsia" w:ascii="Times New Roman" w:hAnsi="Times New Roman" w:eastAsia="宋体" w:cs="Times New Roman"/>
                <w:caps w:val="0"/>
                <w:smallCaps w:val="0"/>
                <w:color w:val="auto"/>
                <w:spacing w:val="0"/>
                <w:w w:val="100"/>
                <w:position w:val="0"/>
                <w:sz w:val="21"/>
                <w:szCs w:val="21"/>
                <w:highlight w:val="none"/>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both"/>
              <w:textAlignment w:val="auto"/>
              <w:rPr>
                <w:rFonts w:hint="eastAsia" w:ascii="Times New Roman" w:hAnsi="Times New Roman" w:eastAsia="宋体" w:cs="Times New Roman"/>
                <w:caps w:val="0"/>
                <w:smallCaps w:val="0"/>
                <w:color w:val="auto"/>
                <w:spacing w:val="0"/>
                <w:w w:val="100"/>
                <w:position w:val="0"/>
                <w:sz w:val="21"/>
                <w:szCs w:val="21"/>
                <w:highlight w:val="none"/>
                <w:vertAlign w:val="baseline"/>
                <w:lang w:eastAsia="zh-CN"/>
              </w:rPr>
            </w:pPr>
            <w:r>
              <w:rPr>
                <w:rFonts w:hint="eastAsia" w:ascii="Times New Roman" w:cs="Times New Roman"/>
                <w:caps w:val="0"/>
                <w:smallCaps w:val="0"/>
                <w:color w:val="auto"/>
                <w:spacing w:val="0"/>
                <w:w w:val="100"/>
                <w:position w:val="0"/>
                <w:sz w:val="21"/>
                <w:szCs w:val="21"/>
                <w:highlight w:val="none"/>
                <w:lang w:val="en-US" w:eastAsia="zh-CN"/>
              </w:rPr>
              <w:t>占</w:t>
            </w:r>
            <w:r>
              <w:rPr>
                <w:rFonts w:hint="eastAsia" w:ascii="Times New Roman" w:hAnsi="Times New Roman" w:eastAsia="宋体" w:cs="Times New Roman"/>
                <w:caps w:val="0"/>
                <w:smallCaps w:val="0"/>
                <w:color w:val="auto"/>
                <w:spacing w:val="0"/>
                <w:w w:val="100"/>
                <w:position w:val="0"/>
                <w:sz w:val="21"/>
                <w:szCs w:val="21"/>
                <w:highlight w:val="none"/>
              </w:rPr>
              <w:t>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w:t>
            </w:r>
            <w:r>
              <w:rPr>
                <w:rFonts w:hint="eastAsia" w:ascii="Times New Roman" w:hAnsi="Times New Roman" w:eastAsia="宋体" w:cs="Times New Roman"/>
                <w:caps w:val="0"/>
                <w:smallCaps w:val="0"/>
                <w:color w:val="auto"/>
                <w:spacing w:val="0"/>
                <w:w w:val="100"/>
                <w:position w:val="0"/>
                <w:sz w:val="21"/>
                <w:szCs w:val="21"/>
                <w:highlight w:val="none"/>
              </w:rPr>
              <w:t>m</w:t>
            </w:r>
            <w:r>
              <w:rPr>
                <w:rFonts w:hint="eastAsia"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建筑面积</w:t>
            </w:r>
            <w:r>
              <w:rPr>
                <w:rFonts w:hint="eastAsia" w:cs="Times New Roman"/>
                <w:caps w:val="0"/>
                <w:smallCaps w:val="0"/>
                <w:color w:val="auto"/>
                <w:spacing w:val="0"/>
                <w:w w:val="100"/>
                <w:position w:val="0"/>
                <w:sz w:val="21"/>
                <w:szCs w:val="21"/>
                <w:highlight w:val="none"/>
                <w:lang w:val="en-US" w:eastAsia="zh-CN"/>
              </w:rPr>
              <w:t>2500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cs="Times New Roman"/>
                <w:caps w:val="0"/>
                <w:smallCaps w:val="0"/>
                <w:color w:val="auto"/>
                <w:spacing w:val="0"/>
                <w:w w:val="100"/>
                <w:position w:val="0"/>
                <w:sz w:val="21"/>
                <w:szCs w:val="21"/>
                <w:highlight w:val="none"/>
                <w:lang w:val="en-US" w:eastAsia="zh-CN"/>
              </w:rPr>
              <w:t>。</w:t>
            </w:r>
            <w:r>
              <w:rPr>
                <w:rFonts w:hint="eastAsia" w:cs="Times New Roman"/>
                <w:caps w:val="0"/>
                <w:smallCaps w:val="0"/>
                <w:color w:val="auto"/>
                <w:spacing w:val="0"/>
                <w:w w:val="100"/>
                <w:position w:val="0"/>
                <w:sz w:val="21"/>
                <w:szCs w:val="21"/>
                <w:highlight w:val="none"/>
                <w:lang w:eastAsia="zh-CN"/>
              </w:rPr>
              <w:t>以漂白针叶木浆和木浆成份纸板为原料，采用“碎浆+分离+磨浆+调浆+造纸”工艺，年生产薄页纸、特种纸、纸板共1万吨。</w:t>
            </w:r>
            <w:r>
              <w:rPr>
                <w:rFonts w:hint="eastAsia" w:cs="Times New Roman"/>
                <w:caps w:val="0"/>
                <w:smallCaps w:val="0"/>
                <w:color w:val="auto"/>
                <w:spacing w:val="0"/>
                <w:w w:val="100"/>
                <w:position w:val="0"/>
                <w:sz w:val="21"/>
                <w:szCs w:val="21"/>
                <w:highlight w:val="none"/>
                <w:lang w:val="en-US" w:eastAsia="zh-CN"/>
              </w:rPr>
              <w:t>生产车间</w:t>
            </w:r>
            <w:r>
              <w:rPr>
                <w:rFonts w:ascii="Times New Roman" w:hAnsi="Times New Roman" w:eastAsia="宋体" w:cs="Times New Roman"/>
                <w:caps w:val="0"/>
                <w:smallCaps w:val="0"/>
                <w:color w:val="auto"/>
                <w:spacing w:val="0"/>
                <w:w w:val="100"/>
                <w:position w:val="0"/>
                <w:sz w:val="21"/>
                <w:szCs w:val="21"/>
                <w:highlight w:val="none"/>
              </w:rPr>
              <w:t>内</w:t>
            </w:r>
            <w:r>
              <w:rPr>
                <w:rFonts w:hint="eastAsia" w:cs="Times New Roman"/>
                <w:caps w:val="0"/>
                <w:smallCaps w:val="0"/>
                <w:color w:val="auto"/>
                <w:spacing w:val="0"/>
                <w:w w:val="100"/>
                <w:position w:val="0"/>
                <w:sz w:val="21"/>
                <w:szCs w:val="21"/>
                <w:highlight w:val="none"/>
                <w:lang w:eastAsia="zh-CN"/>
              </w:rPr>
              <w:t>有</w:t>
            </w:r>
            <w:r>
              <w:rPr>
                <w:rFonts w:ascii="Times New Roman" w:hAnsi="Times New Roman" w:eastAsia="宋体" w:cs="Times New Roman"/>
                <w:caps w:val="0"/>
                <w:smallCaps w:val="0"/>
                <w:color w:val="auto"/>
                <w:spacing w:val="0"/>
                <w:w w:val="100"/>
                <w:position w:val="0"/>
                <w:sz w:val="21"/>
                <w:szCs w:val="21"/>
                <w:highlight w:val="none"/>
              </w:rPr>
              <w:t>碎浆机、除砂机、纤维分离机、压力筛、磨浆机、纸机</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2台3500型纸机</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、切纸机</w:t>
            </w:r>
            <w:r>
              <w:rPr>
                <w:rFonts w:hint="eastAsia"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复卷机等生产设备，</w:t>
            </w:r>
            <w:r>
              <w:rPr>
                <w:rFonts w:hint="eastAsia" w:cs="Times New Roman"/>
                <w:caps w:val="0"/>
                <w:smallCaps w:val="0"/>
                <w:color w:val="auto"/>
                <w:spacing w:val="0"/>
                <w:w w:val="100"/>
                <w:position w:val="0"/>
                <w:sz w:val="21"/>
                <w:szCs w:val="21"/>
                <w:highlight w:val="none"/>
                <w:lang w:eastAsia="zh-CN"/>
              </w:rPr>
              <w:t>建设</w:t>
            </w:r>
            <w:r>
              <w:rPr>
                <w:rFonts w:ascii="Times New Roman" w:hAnsi="Times New Roman" w:eastAsia="宋体" w:cs="Times New Roman"/>
                <w:caps w:val="0"/>
                <w:smallCaps w:val="0"/>
                <w:color w:val="auto"/>
                <w:spacing w:val="0"/>
                <w:w w:val="100"/>
                <w:position w:val="0"/>
                <w:sz w:val="21"/>
                <w:szCs w:val="21"/>
                <w:highlight w:val="none"/>
              </w:rPr>
              <w:t>料浆池4座，混凝土结构，单座尺寸4m×4m×4m，总容积256m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r>
              <w:rPr>
                <w:rFonts w:hint="eastAsia" w:cs="Times New Roman"/>
                <w:caps w:val="0"/>
                <w:smallCaps w:val="0"/>
                <w:color w:val="auto"/>
                <w:spacing w:val="0"/>
                <w:w w:val="100"/>
                <w:position w:val="0"/>
                <w:sz w:val="21"/>
                <w:szCs w:val="21"/>
                <w:highlight w:val="none"/>
                <w:lang w:eastAsia="zh-CN"/>
              </w:rPr>
              <w:t>建设</w:t>
            </w:r>
            <w:r>
              <w:rPr>
                <w:rFonts w:ascii="Times New Roman" w:hAnsi="Times New Roman" w:eastAsia="宋体" w:cs="Times New Roman"/>
                <w:caps w:val="0"/>
                <w:smallCaps w:val="0"/>
                <w:color w:val="auto"/>
                <w:spacing w:val="0"/>
                <w:w w:val="100"/>
                <w:position w:val="0"/>
                <w:sz w:val="21"/>
                <w:szCs w:val="21"/>
                <w:highlight w:val="none"/>
              </w:rPr>
              <w:t>调浆池</w:t>
            </w:r>
            <w:r>
              <w:rPr>
                <w:rFonts w:hint="eastAsia" w:ascii="Times New Roman" w:hAnsi="Times New Roman" w:eastAsia="宋体" w:cs="Times New Roman"/>
                <w:caps w:val="0"/>
                <w:smallCaps w:val="0"/>
                <w:color w:val="auto"/>
                <w:spacing w:val="0"/>
                <w:w w:val="100"/>
                <w:position w:val="0"/>
                <w:sz w:val="21"/>
                <w:szCs w:val="21"/>
                <w:highlight w:val="none"/>
              </w:rPr>
              <w:t>1</w:t>
            </w:r>
            <w:r>
              <w:rPr>
                <w:rFonts w:ascii="Times New Roman" w:hAnsi="Times New Roman" w:eastAsia="宋体" w:cs="Times New Roman"/>
                <w:caps w:val="0"/>
                <w:smallCaps w:val="0"/>
                <w:color w:val="auto"/>
                <w:spacing w:val="0"/>
                <w:w w:val="100"/>
                <w:position w:val="0"/>
                <w:sz w:val="21"/>
                <w:szCs w:val="21"/>
                <w:highlight w:val="none"/>
              </w:rPr>
              <w:t>座，混凝土结构，单座尺寸4m×4m×</w:t>
            </w:r>
            <w:r>
              <w:rPr>
                <w:rFonts w:hint="eastAsia" w:ascii="Times New Roman" w:hAnsi="Times New Roman" w:eastAsia="宋体" w:cs="Times New Roman"/>
                <w:caps w:val="0"/>
                <w:smallCaps w:val="0"/>
                <w:color w:val="auto"/>
                <w:spacing w:val="0"/>
                <w:w w:val="100"/>
                <w:position w:val="0"/>
                <w:sz w:val="21"/>
                <w:szCs w:val="21"/>
                <w:highlight w:val="none"/>
              </w:rPr>
              <w:t>3.5</w:t>
            </w:r>
            <w:r>
              <w:rPr>
                <w:rFonts w:ascii="Times New Roman" w:hAnsi="Times New Roman" w:eastAsia="宋体" w:cs="Times New Roman"/>
                <w:caps w:val="0"/>
                <w:smallCaps w:val="0"/>
                <w:color w:val="auto"/>
                <w:spacing w:val="0"/>
                <w:w w:val="100"/>
                <w:position w:val="0"/>
                <w:sz w:val="21"/>
                <w:szCs w:val="21"/>
                <w:highlight w:val="none"/>
              </w:rPr>
              <w:t>m，总容积</w:t>
            </w:r>
            <w:r>
              <w:rPr>
                <w:rFonts w:hint="eastAsia" w:ascii="Times New Roman" w:hAnsi="Times New Roman" w:eastAsia="宋体" w:cs="Times New Roman"/>
                <w:caps w:val="0"/>
                <w:smallCaps w:val="0"/>
                <w:color w:val="auto"/>
                <w:spacing w:val="0"/>
                <w:w w:val="100"/>
                <w:position w:val="0"/>
                <w:sz w:val="21"/>
                <w:szCs w:val="21"/>
                <w:highlight w:val="none"/>
              </w:rPr>
              <w:t>56</w:t>
            </w:r>
            <w:r>
              <w:rPr>
                <w:rFonts w:ascii="Times New Roman" w:hAnsi="Times New Roman" w:eastAsia="宋体" w:cs="Times New Roman"/>
                <w:caps w:val="0"/>
                <w:smallCaps w:val="0"/>
                <w:color w:val="auto"/>
                <w:spacing w:val="0"/>
                <w:w w:val="100"/>
                <w:position w:val="0"/>
                <w:sz w:val="21"/>
                <w:szCs w:val="21"/>
                <w:highlight w:val="none"/>
              </w:rPr>
              <w:t>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hint="eastAsia" w:cs="Times New Roman"/>
                <w:caps w:val="0"/>
                <w:smallCaps w:val="0"/>
                <w:color w:val="auto"/>
                <w:spacing w:val="0"/>
                <w:w w:val="100"/>
                <w:position w:val="0"/>
                <w:sz w:val="21"/>
                <w:szCs w:val="21"/>
                <w:highlight w:val="none"/>
                <w:vertAlign w:val="baseline"/>
                <w:lang w:eastAsia="zh-CN"/>
              </w:rPr>
              <w:t>。</w:t>
            </w:r>
          </w:p>
        </w:tc>
        <w:tc>
          <w:tcPr>
            <w:tcW w:w="29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依托原有建筑</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辅助工程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ru-RU" w:eastAsia="zh-CN"/>
              </w:rPr>
            </w:pPr>
            <w:r>
              <w:rPr>
                <w:rFonts w:hint="eastAsia" w:ascii="Times New Roman" w:hAnsi="Times New Roman" w:eastAsia="宋体" w:cs="Times New Roman"/>
                <w:caps w:val="0"/>
                <w:smallCaps w:val="0"/>
                <w:color w:val="auto"/>
                <w:spacing w:val="0"/>
                <w:w w:val="100"/>
                <w:position w:val="0"/>
                <w:sz w:val="21"/>
                <w:szCs w:val="21"/>
                <w:highlight w:val="none"/>
                <w:lang w:val="ru-RU" w:eastAsia="zh-CN"/>
              </w:rPr>
              <w:t>锅炉房</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占地面积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380m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，建筑面积</w:t>
            </w:r>
            <w:r>
              <w:rPr>
                <w:rFonts w:hint="eastAsia" w:cs="Times New Roman"/>
                <w:caps w:val="0"/>
                <w:smallCaps w:val="0"/>
                <w:color w:val="auto"/>
                <w:spacing w:val="0"/>
                <w:w w:val="100"/>
                <w:position w:val="0"/>
                <w:sz w:val="21"/>
                <w:szCs w:val="21"/>
                <w:highlight w:val="none"/>
                <w:lang w:val="en-US" w:eastAsia="zh-CN"/>
              </w:rPr>
              <w:t>380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，砖混结构，内设6t/h</w:t>
            </w:r>
            <w:r>
              <w:rPr>
                <w:rFonts w:hint="eastAsia" w:ascii="Times New Roman" w:hAnsi="Times New Roman" w:eastAsia="宋体" w:cs="Times New Roman"/>
                <w:caps w:val="0"/>
                <w:smallCaps w:val="0"/>
                <w:color w:val="auto"/>
                <w:spacing w:val="0"/>
                <w:w w:val="100"/>
                <w:position w:val="0"/>
                <w:sz w:val="21"/>
                <w:szCs w:val="21"/>
                <w:highlight w:val="none"/>
                <w:lang w:eastAsia="zh-CN"/>
              </w:rPr>
              <w:t>燃煤蒸汽</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锅炉，用于厂区生产</w:t>
            </w:r>
            <w:r>
              <w:rPr>
                <w:rFonts w:hint="eastAsia" w:cs="Times New Roman"/>
                <w:caps w:val="0"/>
                <w:smallCaps w:val="0"/>
                <w:color w:val="auto"/>
                <w:spacing w:val="0"/>
                <w:w w:val="100"/>
                <w:position w:val="0"/>
                <w:sz w:val="21"/>
                <w:szCs w:val="21"/>
                <w:highlight w:val="none"/>
                <w:lang w:val="en-US" w:eastAsia="zh-CN"/>
              </w:rPr>
              <w:t>及生活供热</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，废气采用水膜除尘器+35米高烟囱排放。</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原有</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6t/h</w:t>
            </w:r>
            <w:r>
              <w:rPr>
                <w:rFonts w:hint="eastAsia" w:ascii="Times New Roman" w:hAnsi="Times New Roman" w:eastAsia="宋体" w:cs="Times New Roman"/>
                <w:caps w:val="0"/>
                <w:smallCaps w:val="0"/>
                <w:color w:val="auto"/>
                <w:spacing w:val="0"/>
                <w:w w:val="100"/>
                <w:position w:val="0"/>
                <w:sz w:val="21"/>
                <w:szCs w:val="21"/>
                <w:highlight w:val="none"/>
                <w:lang w:eastAsia="zh-CN"/>
              </w:rPr>
              <w:t>燃煤蒸汽锅炉</w:t>
            </w:r>
            <w:r>
              <w:rPr>
                <w:rFonts w:hint="eastAsia" w:cs="Times New Roman"/>
                <w:caps w:val="0"/>
                <w:smallCaps w:val="0"/>
                <w:color w:val="auto"/>
                <w:spacing w:val="0"/>
                <w:w w:val="100"/>
                <w:position w:val="0"/>
                <w:sz w:val="21"/>
                <w:szCs w:val="21"/>
                <w:highlight w:val="none"/>
                <w:lang w:eastAsia="zh-CN"/>
              </w:rPr>
              <w:t>拆除，</w:t>
            </w:r>
            <w:r>
              <w:rPr>
                <w:rFonts w:hint="eastAsia" w:ascii="Times New Roman" w:hAnsi="Times New Roman" w:eastAsia="宋体" w:cs="Times New Roman"/>
                <w:caps w:val="0"/>
                <w:smallCaps w:val="0"/>
                <w:color w:val="auto"/>
                <w:spacing w:val="0"/>
                <w:w w:val="100"/>
                <w:position w:val="0"/>
                <w:sz w:val="21"/>
                <w:szCs w:val="21"/>
                <w:highlight w:val="none"/>
                <w:lang w:eastAsia="zh-CN"/>
              </w:rPr>
              <w:t>更换为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6t/h生物质锅炉，废气</w:t>
            </w:r>
            <w:r>
              <w:rPr>
                <w:rFonts w:hint="eastAsia" w:cs="Times New Roman"/>
                <w:caps w:val="0"/>
                <w:smallCaps w:val="0"/>
                <w:color w:val="auto"/>
                <w:spacing w:val="0"/>
                <w:w w:val="100"/>
                <w:position w:val="0"/>
                <w:sz w:val="21"/>
                <w:szCs w:val="21"/>
                <w:highlight w:val="none"/>
                <w:lang w:val="en-US" w:eastAsia="zh-CN"/>
              </w:rPr>
              <w:t>治理采用</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袋式除尘+35米高烟囱排放</w:t>
            </w:r>
            <w:r>
              <w:rPr>
                <w:rFonts w:hint="eastAsia" w:cs="Times New Roman"/>
                <w:caps w:val="0"/>
                <w:smallCaps w:val="0"/>
                <w:color w:val="auto"/>
                <w:spacing w:val="0"/>
                <w:w w:val="100"/>
                <w:position w:val="0"/>
                <w:sz w:val="21"/>
                <w:szCs w:val="21"/>
                <w:highlight w:val="none"/>
                <w:lang w:val="en-US"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占地面积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380m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，建筑面积</w:t>
            </w:r>
            <w:r>
              <w:rPr>
                <w:rFonts w:hint="eastAsia" w:cs="Times New Roman"/>
                <w:caps w:val="0"/>
                <w:smallCaps w:val="0"/>
                <w:color w:val="auto"/>
                <w:spacing w:val="0"/>
                <w:w w:val="100"/>
                <w:position w:val="0"/>
                <w:sz w:val="21"/>
                <w:szCs w:val="21"/>
                <w:highlight w:val="none"/>
                <w:lang w:val="en-US" w:eastAsia="zh-CN"/>
              </w:rPr>
              <w:t>380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，砖混结构，内设6t/h生物质锅炉，用于厂区生产</w:t>
            </w:r>
            <w:r>
              <w:rPr>
                <w:rFonts w:hint="eastAsia" w:cs="Times New Roman"/>
                <w:caps w:val="0"/>
                <w:smallCaps w:val="0"/>
                <w:color w:val="auto"/>
                <w:spacing w:val="0"/>
                <w:w w:val="100"/>
                <w:position w:val="0"/>
                <w:sz w:val="21"/>
                <w:szCs w:val="21"/>
                <w:highlight w:val="none"/>
                <w:lang w:val="en-US" w:eastAsia="zh-CN"/>
              </w:rPr>
              <w:t>及生活供暖</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使用，废气</w:t>
            </w:r>
            <w:r>
              <w:rPr>
                <w:rFonts w:hint="eastAsia" w:cs="Times New Roman"/>
                <w:caps w:val="0"/>
                <w:smallCaps w:val="0"/>
                <w:color w:val="auto"/>
                <w:spacing w:val="0"/>
                <w:w w:val="100"/>
                <w:position w:val="0"/>
                <w:sz w:val="21"/>
                <w:szCs w:val="21"/>
                <w:highlight w:val="none"/>
                <w:lang w:val="en-US" w:eastAsia="zh-CN"/>
              </w:rPr>
              <w:t>治理</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采用袋式除尘器+35米高烟囱排放。</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办公室</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占地面积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，建筑面积</w:t>
            </w:r>
            <w:r>
              <w:rPr>
                <w:rFonts w:hint="eastAsia" w:cs="Times New Roman"/>
                <w:caps w:val="0"/>
                <w:smallCaps w:val="0"/>
                <w:color w:val="auto"/>
                <w:spacing w:val="0"/>
                <w:w w:val="100"/>
                <w:position w:val="0"/>
                <w:sz w:val="21"/>
                <w:szCs w:val="21"/>
                <w:highlight w:val="none"/>
                <w:lang w:val="en-US" w:eastAsia="zh-CN"/>
              </w:rPr>
              <w:t>600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，位于厂区东侧，作为办公用房</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占地面积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，建筑面积</w:t>
            </w:r>
            <w:r>
              <w:rPr>
                <w:rFonts w:hint="eastAsia" w:cs="Times New Roman"/>
                <w:caps w:val="0"/>
                <w:smallCaps w:val="0"/>
                <w:color w:val="auto"/>
                <w:spacing w:val="0"/>
                <w:w w:val="100"/>
                <w:position w:val="0"/>
                <w:sz w:val="21"/>
                <w:szCs w:val="21"/>
                <w:highlight w:val="none"/>
                <w:lang w:val="en-US" w:eastAsia="zh-CN"/>
              </w:rPr>
              <w:t>600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，位于厂区东侧，作为办公用房</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ru-RU"/>
              </w:rPr>
            </w:pPr>
            <w:r>
              <w:rPr>
                <w:rFonts w:ascii="Times New Roman" w:hAnsi="Times New Roman" w:eastAsia="宋体" w:cs="Times New Roman"/>
                <w:caps w:val="0"/>
                <w:smallCaps w:val="0"/>
                <w:color w:val="auto"/>
                <w:spacing w:val="0"/>
                <w:w w:val="100"/>
                <w:position w:val="0"/>
                <w:sz w:val="21"/>
                <w:szCs w:val="21"/>
                <w:highlight w:val="none"/>
                <w:lang w:val="ru-RU"/>
              </w:rPr>
              <w:t>维修车间</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位于生产车间内部西南角，占地面积为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，用于日常设备小修及设备保养。</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位于生产车间内部西南角，占地面积为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，用于日常设备小修及设备保养。</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门卫</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位于厂区北侧，</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1栋，单层，占地面积25m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位于厂区北侧，</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1栋，单层，占地面积25m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贮运工程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ru-RU"/>
              </w:rPr>
            </w:pPr>
            <w:r>
              <w:rPr>
                <w:rFonts w:ascii="Times New Roman" w:hAnsi="Times New Roman" w:eastAsia="宋体" w:cs="Times New Roman"/>
                <w:caps w:val="0"/>
                <w:smallCaps w:val="0"/>
                <w:color w:val="auto"/>
                <w:spacing w:val="0"/>
                <w:w w:val="100"/>
                <w:position w:val="0"/>
                <w:sz w:val="21"/>
                <w:szCs w:val="21"/>
                <w:highlight w:val="none"/>
                <w:lang w:val="ru-RU"/>
              </w:rPr>
              <w:t>原料库房</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b w:val="0"/>
                <w:bCs w:val="0"/>
                <w:caps w:val="0"/>
                <w:smallCaps w:val="0"/>
                <w:color w:val="auto"/>
                <w:spacing w:val="0"/>
                <w:w w:val="100"/>
                <w:position w:val="0"/>
                <w:sz w:val="21"/>
                <w:szCs w:val="21"/>
                <w:highlight w:val="none"/>
                <w:lang w:eastAsia="zh-CN"/>
              </w:rPr>
              <w:t>一</w:t>
            </w:r>
            <w:r>
              <w:rPr>
                <w:rFonts w:ascii="Times New Roman" w:hAnsi="Times New Roman" w:eastAsia="宋体" w:cs="Times New Roman"/>
                <w:b w:val="0"/>
                <w:bCs w:val="0"/>
                <w:caps w:val="0"/>
                <w:smallCaps w:val="0"/>
                <w:color w:val="auto"/>
                <w:spacing w:val="0"/>
                <w:w w:val="100"/>
                <w:position w:val="0"/>
                <w:sz w:val="21"/>
                <w:szCs w:val="21"/>
                <w:highlight w:val="none"/>
              </w:rPr>
              <w:t>座</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500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，用作储存</w:t>
            </w:r>
            <w:r>
              <w:rPr>
                <w:rFonts w:hint="eastAsia" w:cs="Times New Roman"/>
                <w:caps w:val="0"/>
                <w:smallCaps w:val="0"/>
                <w:color w:val="auto"/>
                <w:spacing w:val="0"/>
                <w:w w:val="100"/>
                <w:position w:val="0"/>
                <w:sz w:val="21"/>
                <w:szCs w:val="21"/>
                <w:highlight w:val="none"/>
                <w:lang w:eastAsia="zh-CN"/>
              </w:rPr>
              <w:t>生产</w:t>
            </w:r>
            <w:r>
              <w:rPr>
                <w:rFonts w:ascii="Times New Roman" w:hAnsi="Times New Roman" w:eastAsia="宋体" w:cs="Times New Roman"/>
                <w:caps w:val="0"/>
                <w:smallCaps w:val="0"/>
                <w:color w:val="auto"/>
                <w:spacing w:val="0"/>
                <w:w w:val="100"/>
                <w:position w:val="0"/>
                <w:sz w:val="21"/>
                <w:szCs w:val="21"/>
                <w:highlight w:val="none"/>
              </w:rPr>
              <w:t>原材料</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b w:val="0"/>
                <w:bCs w:val="0"/>
                <w:caps w:val="0"/>
                <w:smallCaps w:val="0"/>
                <w:color w:val="auto"/>
                <w:spacing w:val="0"/>
                <w:w w:val="100"/>
                <w:position w:val="0"/>
                <w:sz w:val="21"/>
                <w:szCs w:val="21"/>
                <w:highlight w:val="none"/>
                <w:lang w:eastAsia="zh-CN"/>
              </w:rPr>
              <w:t>一</w:t>
            </w:r>
            <w:r>
              <w:rPr>
                <w:rFonts w:ascii="Times New Roman" w:hAnsi="Times New Roman" w:eastAsia="宋体" w:cs="Times New Roman"/>
                <w:b w:val="0"/>
                <w:bCs w:val="0"/>
                <w:caps w:val="0"/>
                <w:smallCaps w:val="0"/>
                <w:color w:val="auto"/>
                <w:spacing w:val="0"/>
                <w:w w:val="100"/>
                <w:position w:val="0"/>
                <w:sz w:val="21"/>
                <w:szCs w:val="21"/>
                <w:highlight w:val="none"/>
              </w:rPr>
              <w:t>座</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500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，用作储存</w:t>
            </w:r>
            <w:r>
              <w:rPr>
                <w:rFonts w:hint="eastAsia" w:cs="Times New Roman"/>
                <w:caps w:val="0"/>
                <w:smallCaps w:val="0"/>
                <w:color w:val="auto"/>
                <w:spacing w:val="0"/>
                <w:w w:val="100"/>
                <w:position w:val="0"/>
                <w:sz w:val="21"/>
                <w:szCs w:val="21"/>
                <w:highlight w:val="none"/>
                <w:lang w:eastAsia="zh-CN"/>
              </w:rPr>
              <w:t>生产</w:t>
            </w:r>
            <w:r>
              <w:rPr>
                <w:rFonts w:ascii="Times New Roman" w:hAnsi="Times New Roman" w:eastAsia="宋体" w:cs="Times New Roman"/>
                <w:caps w:val="0"/>
                <w:smallCaps w:val="0"/>
                <w:color w:val="auto"/>
                <w:spacing w:val="0"/>
                <w:w w:val="100"/>
                <w:position w:val="0"/>
                <w:sz w:val="21"/>
                <w:szCs w:val="21"/>
                <w:highlight w:val="none"/>
              </w:rPr>
              <w:t>原材料</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29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依托原有建筑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ru-RU"/>
              </w:rPr>
            </w:pPr>
            <w:r>
              <w:rPr>
                <w:rFonts w:ascii="Times New Roman" w:hAnsi="Times New Roman" w:eastAsia="宋体" w:cs="Times New Roman"/>
                <w:caps w:val="0"/>
                <w:smallCaps w:val="0"/>
                <w:color w:val="auto"/>
                <w:spacing w:val="0"/>
                <w:w w:val="100"/>
                <w:position w:val="0"/>
                <w:sz w:val="21"/>
                <w:szCs w:val="21"/>
                <w:highlight w:val="none"/>
                <w:lang w:val="ru-RU"/>
              </w:rPr>
              <w:t>成品库房</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w:t>
            </w:r>
            <w:r>
              <w:rPr>
                <w:rFonts w:ascii="Times New Roman" w:hAnsi="Times New Roman" w:eastAsia="宋体" w:cs="Times New Roman"/>
                <w:caps w:val="0"/>
                <w:smallCaps w:val="0"/>
                <w:color w:val="auto"/>
                <w:spacing w:val="0"/>
                <w:w w:val="100"/>
                <w:position w:val="0"/>
                <w:sz w:val="21"/>
                <w:szCs w:val="21"/>
                <w:highlight w:val="none"/>
              </w:rPr>
              <w:t>座，</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500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，成品贮存场所，单座贮存能力</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2000</w:t>
            </w:r>
            <w:r>
              <w:rPr>
                <w:rFonts w:ascii="Times New Roman" w:hAnsi="Times New Roman" w:eastAsia="宋体" w:cs="Times New Roman"/>
                <w:caps w:val="0"/>
                <w:smallCaps w:val="0"/>
                <w:color w:val="auto"/>
                <w:spacing w:val="0"/>
                <w:w w:val="100"/>
                <w:position w:val="0"/>
                <w:sz w:val="21"/>
                <w:szCs w:val="21"/>
                <w:highlight w:val="none"/>
              </w:rPr>
              <w:t>吨</w:t>
            </w:r>
            <w:r>
              <w:rPr>
                <w:rFonts w:hint="eastAsia" w:cs="Times New Roman"/>
                <w:caps w:val="0"/>
                <w:smallCaps w:val="0"/>
                <w:color w:val="auto"/>
                <w:spacing w:val="0"/>
                <w:w w:val="100"/>
                <w:position w:val="0"/>
                <w:sz w:val="21"/>
                <w:szCs w:val="21"/>
                <w:highlight w:val="none"/>
                <w:lang w:val="en-US"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w:t>
            </w:r>
            <w:r>
              <w:rPr>
                <w:rFonts w:ascii="Times New Roman" w:hAnsi="Times New Roman" w:eastAsia="宋体" w:cs="Times New Roman"/>
                <w:caps w:val="0"/>
                <w:smallCaps w:val="0"/>
                <w:color w:val="auto"/>
                <w:spacing w:val="0"/>
                <w:w w:val="100"/>
                <w:position w:val="0"/>
                <w:sz w:val="21"/>
                <w:szCs w:val="21"/>
                <w:highlight w:val="none"/>
              </w:rPr>
              <w:t>座，</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500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，成品贮存场所，单座贮存能力</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2000</w:t>
            </w:r>
            <w:r>
              <w:rPr>
                <w:rFonts w:ascii="Times New Roman" w:hAnsi="Times New Roman" w:eastAsia="宋体" w:cs="Times New Roman"/>
                <w:caps w:val="0"/>
                <w:smallCaps w:val="0"/>
                <w:color w:val="auto"/>
                <w:spacing w:val="0"/>
                <w:w w:val="100"/>
                <w:position w:val="0"/>
                <w:sz w:val="21"/>
                <w:szCs w:val="21"/>
                <w:highlight w:val="none"/>
              </w:rPr>
              <w:t>吨</w:t>
            </w:r>
            <w:r>
              <w:rPr>
                <w:rFonts w:hint="eastAsia" w:cs="Times New Roman"/>
                <w:caps w:val="0"/>
                <w:smallCaps w:val="0"/>
                <w:color w:val="auto"/>
                <w:spacing w:val="0"/>
                <w:w w:val="100"/>
                <w:position w:val="0"/>
                <w:sz w:val="21"/>
                <w:szCs w:val="21"/>
                <w:highlight w:val="none"/>
                <w:lang w:val="en-US" w:eastAsia="zh-CN"/>
              </w:rPr>
              <w:t>。</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燃料库房</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w:t>
            </w:r>
            <w:r>
              <w:rPr>
                <w:rFonts w:ascii="Times New Roman" w:hAnsi="Times New Roman" w:eastAsia="宋体" w:cs="Times New Roman"/>
                <w:caps w:val="0"/>
                <w:smallCaps w:val="0"/>
                <w:color w:val="auto"/>
                <w:spacing w:val="0"/>
                <w:w w:val="100"/>
                <w:position w:val="0"/>
                <w:sz w:val="21"/>
                <w:szCs w:val="21"/>
                <w:highlight w:val="none"/>
              </w:rPr>
              <w:t>座，</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w:t>
            </w:r>
            <w:r>
              <w:rPr>
                <w:rFonts w:hint="eastAsia" w:ascii="Times New Roman" w:cs="Times New Roman"/>
                <w:caps w:val="0"/>
                <w:smallCaps w:val="0"/>
                <w:color w:val="auto"/>
                <w:spacing w:val="0"/>
                <w:w w:val="10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300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cs="Times New Roman"/>
                <w:caps w:val="0"/>
                <w:smallCaps w:val="0"/>
                <w:color w:val="auto"/>
                <w:spacing w:val="0"/>
                <w:w w:val="100"/>
                <w:position w:val="0"/>
                <w:sz w:val="21"/>
                <w:szCs w:val="21"/>
                <w:highlight w:val="none"/>
                <w:lang w:val="en-US"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一</w:t>
            </w:r>
            <w:r>
              <w:rPr>
                <w:rFonts w:ascii="Times New Roman" w:hAnsi="Times New Roman" w:eastAsia="宋体" w:cs="Times New Roman"/>
                <w:caps w:val="0"/>
                <w:smallCaps w:val="0"/>
                <w:color w:val="auto"/>
                <w:spacing w:val="0"/>
                <w:w w:val="100"/>
                <w:position w:val="0"/>
                <w:sz w:val="21"/>
                <w:szCs w:val="21"/>
                <w:highlight w:val="none"/>
              </w:rPr>
              <w:t>座，</w:t>
            </w:r>
            <w:r>
              <w:rPr>
                <w:rFonts w:hint="eastAsia" w:ascii="Times New Roman" w:hAnsi="Times New Roman" w:eastAsia="宋体" w:cs="Times New Roman"/>
                <w:caps w:val="0"/>
                <w:smallCaps w:val="0"/>
                <w:color w:val="auto"/>
                <w:spacing w:val="0"/>
                <w:w w:val="100"/>
                <w:position w:val="0"/>
                <w:sz w:val="21"/>
                <w:szCs w:val="21"/>
                <w:highlight w:val="none"/>
                <w:lang w:eastAsia="zh-CN"/>
              </w:rPr>
              <w:t>占地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面积</w:t>
            </w:r>
            <w:r>
              <w:rPr>
                <w:rFonts w:hint="eastAsia" w:ascii="Times New Roman" w:cs="Times New Roman"/>
                <w:caps w:val="0"/>
                <w:smallCaps w:val="0"/>
                <w:color w:val="auto"/>
                <w:spacing w:val="0"/>
                <w:w w:val="100"/>
                <w:position w:val="0"/>
                <w:sz w:val="21"/>
                <w:szCs w:val="21"/>
                <w:highlight w:val="none"/>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2</w:t>
            </w:r>
            <w:r>
              <w:rPr>
                <w:rFonts w:ascii="Times New Roman" w:hAnsi="Times New Roman" w:eastAsia="宋体" w:cs="Times New Roman"/>
                <w:caps w:val="0"/>
                <w:smallCaps w:val="0"/>
                <w:color w:val="auto"/>
                <w:spacing w:val="0"/>
                <w:w w:val="100"/>
                <w:position w:val="0"/>
                <w:sz w:val="21"/>
                <w:szCs w:val="21"/>
                <w:highlight w:val="none"/>
              </w:rPr>
              <w:t>，建筑面积</w:t>
            </w:r>
            <w:r>
              <w:rPr>
                <w:rFonts w:hint="eastAsia" w:cs="Times New Roman"/>
                <w:caps w:val="0"/>
                <w:smallCaps w:val="0"/>
                <w:color w:val="auto"/>
                <w:spacing w:val="0"/>
                <w:w w:val="100"/>
                <w:position w:val="0"/>
                <w:sz w:val="21"/>
                <w:szCs w:val="21"/>
                <w:highlight w:val="none"/>
                <w:lang w:val="en-US" w:eastAsia="zh-CN"/>
              </w:rPr>
              <w:t>300</w:t>
            </w:r>
            <w:r>
              <w:rPr>
                <w:rFonts w:ascii="Times New Roman" w:hAnsi="Times New Roman" w:eastAsia="宋体" w:cs="Times New Roman"/>
                <w:caps w:val="0"/>
                <w:smallCaps w:val="0"/>
                <w:color w:val="auto"/>
                <w:spacing w:val="0"/>
                <w:w w:val="100"/>
                <w:position w:val="0"/>
                <w:sz w:val="21"/>
                <w:szCs w:val="21"/>
                <w:highlight w:val="none"/>
              </w:rPr>
              <w:t>m</w:t>
            </w:r>
            <w:r>
              <w:rPr>
                <w:rFonts w:hint="eastAsia" w:cs="Times New Roman"/>
                <w:caps w:val="0"/>
                <w:smallCaps w:val="0"/>
                <w:color w:val="auto"/>
                <w:spacing w:val="0"/>
                <w:w w:val="100"/>
                <w:position w:val="0"/>
                <w:sz w:val="21"/>
                <w:szCs w:val="21"/>
                <w:highlight w:val="none"/>
                <w:vertAlign w:val="superscript"/>
                <w:lang w:val="en-US" w:eastAsia="zh-CN"/>
              </w:rPr>
              <w:t>2</w:t>
            </w:r>
            <w:r>
              <w:rPr>
                <w:rFonts w:hint="eastAsia" w:cs="Times New Roman"/>
                <w:caps w:val="0"/>
                <w:smallCaps w:val="0"/>
                <w:color w:val="auto"/>
                <w:spacing w:val="0"/>
                <w:w w:val="100"/>
                <w:position w:val="0"/>
                <w:sz w:val="21"/>
                <w:szCs w:val="21"/>
                <w:highlight w:val="none"/>
                <w:lang w:val="en-US" w:eastAsia="zh-CN"/>
              </w:rPr>
              <w:t>。</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ru-RU" w:eastAsia="zh-CN"/>
              </w:rPr>
            </w:pPr>
            <w:r>
              <w:rPr>
                <w:rFonts w:hint="eastAsia" w:ascii="Times New Roman" w:hAnsi="Times New Roman" w:eastAsia="宋体" w:cs="Times New Roman"/>
                <w:caps w:val="0"/>
                <w:smallCaps w:val="0"/>
                <w:color w:val="auto"/>
                <w:spacing w:val="0"/>
                <w:w w:val="100"/>
                <w:position w:val="0"/>
                <w:sz w:val="21"/>
                <w:szCs w:val="21"/>
                <w:highlight w:val="none"/>
                <w:lang w:val="ru-RU" w:eastAsia="zh-CN"/>
              </w:rPr>
              <w:t>危险废物暂存间</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位于生产车间内，机修间</w:t>
            </w:r>
            <w:r>
              <w:rPr>
                <w:rFonts w:hint="eastAsia" w:ascii="Times New Roman" w:cs="Times New Roman"/>
                <w:caps w:val="0"/>
                <w:smallCaps w:val="0"/>
                <w:color w:val="auto"/>
                <w:spacing w:val="0"/>
                <w:w w:val="100"/>
                <w:position w:val="0"/>
                <w:sz w:val="21"/>
                <w:szCs w:val="21"/>
                <w:highlight w:val="none"/>
                <w:lang w:val="en-US" w:eastAsia="zh-CN"/>
              </w:rPr>
              <w:t>东</w:t>
            </w:r>
            <w:r>
              <w:rPr>
                <w:rFonts w:hint="eastAsia" w:ascii="Times New Roman" w:hAnsi="Times New Roman" w:eastAsia="宋体" w:cs="Times New Roman"/>
                <w:caps w:val="0"/>
                <w:smallCaps w:val="0"/>
                <w:color w:val="auto"/>
                <w:spacing w:val="0"/>
                <w:w w:val="100"/>
                <w:position w:val="0"/>
                <w:sz w:val="21"/>
                <w:szCs w:val="21"/>
                <w:highlight w:val="none"/>
                <w:lang w:eastAsia="zh-CN"/>
              </w:rPr>
              <w:t>侧，建筑面积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w:t>
            </w:r>
            <w:r>
              <w:rPr>
                <w:rFonts w:ascii="Times New Roman" w:hAnsi="Times New Roman" w:eastAsia="宋体" w:cs="Times New Roman"/>
                <w:caps w:val="0"/>
                <w:smallCaps w:val="0"/>
                <w:color w:val="auto"/>
                <w:spacing w:val="0"/>
                <w:w w:val="100"/>
                <w:position w:val="0"/>
                <w:sz w:val="21"/>
                <w:szCs w:val="21"/>
                <w:highlight w:val="none"/>
              </w:rPr>
              <w:t>m</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lang w:eastAsia="zh-CN"/>
              </w:rPr>
              <w:t>。用于暂存机修产生的废润滑油</w:t>
            </w:r>
            <w:r>
              <w:rPr>
                <w:rFonts w:hint="eastAsia" w:cs="Times New Roman"/>
                <w:caps w:val="0"/>
                <w:smallCaps w:val="0"/>
                <w:color w:val="auto"/>
                <w:spacing w:val="0"/>
                <w:w w:val="100"/>
                <w:position w:val="0"/>
                <w:sz w:val="21"/>
                <w:szCs w:val="21"/>
                <w:highlight w:val="none"/>
                <w:lang w:val="en-US" w:eastAsia="zh-CN"/>
              </w:rPr>
              <w:t>及废活性炭</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位于生产车间内，机修间</w:t>
            </w:r>
            <w:r>
              <w:rPr>
                <w:rFonts w:hint="eastAsia" w:ascii="Times New Roman" w:cs="Times New Roman"/>
                <w:caps w:val="0"/>
                <w:smallCaps w:val="0"/>
                <w:color w:val="auto"/>
                <w:spacing w:val="0"/>
                <w:w w:val="100"/>
                <w:position w:val="0"/>
                <w:sz w:val="21"/>
                <w:szCs w:val="21"/>
                <w:highlight w:val="none"/>
                <w:lang w:val="en-US" w:eastAsia="zh-CN"/>
              </w:rPr>
              <w:t>东</w:t>
            </w:r>
            <w:r>
              <w:rPr>
                <w:rFonts w:hint="eastAsia" w:ascii="Times New Roman" w:hAnsi="Times New Roman" w:eastAsia="宋体" w:cs="Times New Roman"/>
                <w:caps w:val="0"/>
                <w:smallCaps w:val="0"/>
                <w:color w:val="auto"/>
                <w:spacing w:val="0"/>
                <w:w w:val="100"/>
                <w:position w:val="0"/>
                <w:sz w:val="21"/>
                <w:szCs w:val="21"/>
                <w:highlight w:val="none"/>
                <w:lang w:eastAsia="zh-CN"/>
              </w:rPr>
              <w:t>侧，建筑面积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w:t>
            </w:r>
            <w:r>
              <w:rPr>
                <w:rFonts w:ascii="Times New Roman" w:hAnsi="Times New Roman" w:eastAsia="宋体" w:cs="Times New Roman"/>
                <w:caps w:val="0"/>
                <w:smallCaps w:val="0"/>
                <w:color w:val="auto"/>
                <w:spacing w:val="0"/>
                <w:w w:val="100"/>
                <w:position w:val="0"/>
                <w:sz w:val="21"/>
                <w:szCs w:val="21"/>
                <w:highlight w:val="none"/>
              </w:rPr>
              <w:t>m</w:t>
            </w:r>
            <w:r>
              <w:rPr>
                <w:rFonts w:ascii="Times New Roman" w:hAnsi="Times New Roman" w:eastAsia="宋体" w:cs="Times New Roman"/>
                <w:caps w:val="0"/>
                <w:smallCaps w:val="0"/>
                <w:color w:val="auto"/>
                <w:spacing w:val="0"/>
                <w:w w:val="100"/>
                <w:position w:val="0"/>
                <w:sz w:val="21"/>
                <w:szCs w:val="21"/>
                <w:highlight w:val="none"/>
                <w:vertAlign w:val="superscript"/>
              </w:rPr>
              <w:t>2</w:t>
            </w:r>
            <w:r>
              <w:rPr>
                <w:rFonts w:hint="eastAsia" w:ascii="Times New Roman" w:hAnsi="Times New Roman" w:eastAsia="宋体" w:cs="Times New Roman"/>
                <w:caps w:val="0"/>
                <w:smallCaps w:val="0"/>
                <w:color w:val="auto"/>
                <w:spacing w:val="0"/>
                <w:w w:val="100"/>
                <w:position w:val="0"/>
                <w:sz w:val="21"/>
                <w:szCs w:val="21"/>
                <w:highlight w:val="none"/>
                <w:lang w:eastAsia="zh-CN"/>
              </w:rPr>
              <w:t>。用于暂存机修产生的废润滑油</w:t>
            </w:r>
            <w:r>
              <w:rPr>
                <w:rFonts w:hint="eastAsia" w:cs="Times New Roman"/>
                <w:caps w:val="0"/>
                <w:smallCaps w:val="0"/>
                <w:color w:val="auto"/>
                <w:spacing w:val="0"/>
                <w:w w:val="100"/>
                <w:position w:val="0"/>
                <w:sz w:val="21"/>
                <w:szCs w:val="21"/>
                <w:highlight w:val="none"/>
                <w:lang w:val="en-US" w:eastAsia="zh-CN"/>
              </w:rPr>
              <w:t>及废活性炭</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公用工程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供水</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生活用水由桶装水供给，生产用水由院内自打井供给。</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生活用水由桶装水供给，生产用水由院内自打井供给。</w:t>
            </w:r>
          </w:p>
        </w:tc>
        <w:tc>
          <w:tcPr>
            <w:tcW w:w="29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排水</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生产废水、锅炉排水均经污水处理站处理后</w:t>
            </w:r>
            <w:r>
              <w:rPr>
                <w:rFonts w:hint="eastAsia" w:ascii="Times New Roman" w:cs="Times New Roman"/>
                <w:caps w:val="0"/>
                <w:smallCaps w:val="0"/>
                <w:color w:val="auto"/>
                <w:spacing w:val="0"/>
                <w:w w:val="100"/>
                <w:position w:val="0"/>
                <w:sz w:val="21"/>
                <w:szCs w:val="21"/>
                <w:highlight w:val="none"/>
                <w:lang w:val="en-US" w:eastAsia="zh-CN"/>
              </w:rPr>
              <w:t>排入</w:t>
            </w:r>
            <w:r>
              <w:rPr>
                <w:rFonts w:hint="eastAsia" w:ascii="宋体" w:hAnsi="Times New Roman" w:eastAsia="宋体" w:cs="Times New Roman"/>
                <w:caps w:val="0"/>
                <w:smallCaps w:val="0"/>
                <w:color w:val="auto"/>
                <w:spacing w:val="0"/>
                <w:w w:val="100"/>
                <w:position w:val="0"/>
                <w:sz w:val="21"/>
                <w:szCs w:val="21"/>
                <w:highlight w:val="none"/>
                <w:lang w:val="en-US" w:eastAsia="zh-CN"/>
              </w:rPr>
              <w:t>东大海。</w:t>
            </w:r>
            <w:r>
              <w:rPr>
                <w:rFonts w:ascii="Times New Roman" w:hAnsi="Times New Roman" w:eastAsia="宋体" w:cs="Times New Roman"/>
                <w:caps w:val="0"/>
                <w:smallCaps w:val="0"/>
                <w:color w:val="auto"/>
                <w:spacing w:val="0"/>
                <w:w w:val="100"/>
                <w:position w:val="0"/>
                <w:sz w:val="21"/>
                <w:szCs w:val="21"/>
                <w:highlight w:val="none"/>
              </w:rPr>
              <w:t>生活污水</w:t>
            </w:r>
            <w:r>
              <w:rPr>
                <w:rFonts w:hint="eastAsia" w:cs="Times New Roman"/>
                <w:caps w:val="0"/>
                <w:smallCaps w:val="0"/>
                <w:color w:val="auto"/>
                <w:spacing w:val="0"/>
                <w:w w:val="100"/>
                <w:position w:val="0"/>
                <w:sz w:val="21"/>
                <w:szCs w:val="21"/>
                <w:highlight w:val="none"/>
                <w:lang w:val="en-US" w:eastAsia="zh-CN"/>
              </w:rPr>
              <w:t>采用防渗旱厕回收换田。</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生产废水、锅炉排水均经污水处理站处理后全部循环使用</w:t>
            </w:r>
            <w:r>
              <w:rPr>
                <w:rFonts w:hint="eastAsia"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生活污水</w:t>
            </w:r>
            <w:r>
              <w:rPr>
                <w:rFonts w:hint="eastAsia" w:cs="Times New Roman"/>
                <w:caps w:val="0"/>
                <w:smallCaps w:val="0"/>
                <w:color w:val="auto"/>
                <w:spacing w:val="0"/>
                <w:w w:val="100"/>
                <w:position w:val="0"/>
                <w:sz w:val="21"/>
                <w:szCs w:val="21"/>
                <w:highlight w:val="none"/>
                <w:lang w:val="en-US" w:eastAsia="zh-CN"/>
              </w:rPr>
              <w:t>采用防渗旱厕回收换田。</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生产废水、锅炉排水均经污水处理站处理后全部循环使用</w:t>
            </w:r>
            <w:r>
              <w:rPr>
                <w:rFonts w:hint="eastAsia"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生活污水</w:t>
            </w:r>
            <w:r>
              <w:rPr>
                <w:rFonts w:hint="eastAsia" w:cs="Times New Roman"/>
                <w:caps w:val="0"/>
                <w:smallCaps w:val="0"/>
                <w:color w:val="auto"/>
                <w:spacing w:val="0"/>
                <w:w w:val="100"/>
                <w:position w:val="0"/>
                <w:sz w:val="21"/>
                <w:szCs w:val="21"/>
                <w:highlight w:val="none"/>
                <w:lang w:val="en-US" w:eastAsia="zh-CN"/>
              </w:rPr>
              <w:t>采用防渗旱厕回收换田。</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供电</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本项目用电由大庆电</w:t>
            </w:r>
            <w:r>
              <w:rPr>
                <w:rFonts w:hint="eastAsia" w:ascii="Times New Roman" w:hAnsi="Times New Roman" w:eastAsia="宋体" w:cs="Times New Roman"/>
                <w:caps w:val="0"/>
                <w:smallCaps w:val="0"/>
                <w:color w:val="auto"/>
                <w:spacing w:val="0"/>
                <w:w w:val="100"/>
                <w:position w:val="0"/>
                <w:sz w:val="21"/>
                <w:szCs w:val="21"/>
                <w:highlight w:val="none"/>
                <w:lang w:eastAsia="zh-CN"/>
              </w:rPr>
              <w:t>网</w:t>
            </w:r>
            <w:r>
              <w:rPr>
                <w:rFonts w:ascii="Times New Roman" w:hAnsi="Times New Roman" w:eastAsia="宋体" w:cs="Times New Roman"/>
                <w:caps w:val="0"/>
                <w:smallCaps w:val="0"/>
                <w:color w:val="auto"/>
                <w:spacing w:val="0"/>
                <w:w w:val="100"/>
                <w:position w:val="0"/>
                <w:sz w:val="21"/>
                <w:szCs w:val="21"/>
                <w:highlight w:val="none"/>
              </w:rPr>
              <w:t>提供</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本项目用电由大庆电</w:t>
            </w:r>
            <w:r>
              <w:rPr>
                <w:rFonts w:hint="eastAsia" w:ascii="Times New Roman" w:hAnsi="Times New Roman" w:eastAsia="宋体" w:cs="Times New Roman"/>
                <w:caps w:val="0"/>
                <w:smallCaps w:val="0"/>
                <w:color w:val="auto"/>
                <w:spacing w:val="0"/>
                <w:w w:val="100"/>
                <w:position w:val="0"/>
                <w:sz w:val="21"/>
                <w:szCs w:val="21"/>
                <w:highlight w:val="none"/>
                <w:lang w:eastAsia="zh-CN"/>
              </w:rPr>
              <w:t>网</w:t>
            </w:r>
            <w:r>
              <w:rPr>
                <w:rFonts w:ascii="Times New Roman" w:hAnsi="Times New Roman" w:eastAsia="宋体" w:cs="Times New Roman"/>
                <w:caps w:val="0"/>
                <w:smallCaps w:val="0"/>
                <w:color w:val="auto"/>
                <w:spacing w:val="0"/>
                <w:w w:val="100"/>
                <w:position w:val="0"/>
                <w:sz w:val="21"/>
                <w:szCs w:val="21"/>
                <w:highlight w:val="none"/>
              </w:rPr>
              <w:t>提供</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供热</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生产及生活</w:t>
            </w:r>
            <w:r>
              <w:rPr>
                <w:rFonts w:hint="eastAsia" w:ascii="Times New Roman" w:hAnsi="Times New Roman" w:eastAsia="宋体" w:cs="Times New Roman"/>
                <w:caps w:val="0"/>
                <w:smallCaps w:val="0"/>
                <w:color w:val="auto"/>
                <w:spacing w:val="0"/>
                <w:w w:val="100"/>
                <w:position w:val="0"/>
                <w:sz w:val="21"/>
                <w:szCs w:val="21"/>
                <w:highlight w:val="none"/>
                <w:lang w:eastAsia="zh-CN"/>
              </w:rPr>
              <w:t>供热</w:t>
            </w:r>
            <w:r>
              <w:rPr>
                <w:rFonts w:ascii="Times New Roman" w:hAnsi="Times New Roman" w:eastAsia="宋体" w:cs="Times New Roman"/>
                <w:caps w:val="0"/>
                <w:smallCaps w:val="0"/>
                <w:color w:val="auto"/>
                <w:spacing w:val="0"/>
                <w:w w:val="100"/>
                <w:position w:val="0"/>
                <w:sz w:val="21"/>
                <w:szCs w:val="21"/>
                <w:highlight w:val="none"/>
              </w:rPr>
              <w:t>由一台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w:t>
            </w:r>
            <w:r>
              <w:rPr>
                <w:rFonts w:ascii="Times New Roman" w:hAnsi="Times New Roman" w:eastAsia="宋体" w:cs="Times New Roman"/>
                <w:caps w:val="0"/>
                <w:smallCaps w:val="0"/>
                <w:color w:val="auto"/>
                <w:spacing w:val="0"/>
                <w:w w:val="100"/>
                <w:position w:val="0"/>
                <w:sz w:val="21"/>
                <w:szCs w:val="21"/>
                <w:highlight w:val="none"/>
              </w:rPr>
              <w:t>t/h</w:t>
            </w:r>
            <w:r>
              <w:rPr>
                <w:rFonts w:hint="eastAsia" w:cs="Times New Roman"/>
                <w:caps w:val="0"/>
                <w:smallCaps w:val="0"/>
                <w:color w:val="auto"/>
                <w:spacing w:val="0"/>
                <w:w w:val="100"/>
                <w:position w:val="0"/>
                <w:sz w:val="21"/>
                <w:szCs w:val="21"/>
                <w:highlight w:val="none"/>
                <w:lang w:eastAsia="zh-CN"/>
              </w:rPr>
              <w:t>燃煤</w:t>
            </w:r>
            <w:r>
              <w:rPr>
                <w:rFonts w:ascii="Times New Roman" w:hAnsi="Times New Roman" w:eastAsia="宋体" w:cs="Times New Roman"/>
                <w:caps w:val="0"/>
                <w:smallCaps w:val="0"/>
                <w:color w:val="auto"/>
                <w:spacing w:val="0"/>
                <w:w w:val="100"/>
                <w:position w:val="0"/>
                <w:sz w:val="21"/>
                <w:szCs w:val="21"/>
                <w:highlight w:val="none"/>
              </w:rPr>
              <w:t>锅炉提供</w:t>
            </w:r>
            <w:r>
              <w:rPr>
                <w:rFonts w:hint="eastAsia" w:cs="Times New Roman"/>
                <w:caps w:val="0"/>
                <w:smallCaps w:val="0"/>
                <w:color w:val="auto"/>
                <w:spacing w:val="0"/>
                <w:w w:val="100"/>
                <w:position w:val="0"/>
                <w:sz w:val="21"/>
                <w:szCs w:val="21"/>
                <w:highlight w:val="none"/>
                <w:lang w:eastAsia="zh-CN"/>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w:t>
            </w:r>
            <w:r>
              <w:rPr>
                <w:rFonts w:ascii="Times New Roman" w:hAnsi="Times New Roman" w:eastAsia="宋体" w:cs="Times New Roman"/>
                <w:caps w:val="0"/>
                <w:smallCaps w:val="0"/>
                <w:color w:val="auto"/>
                <w:spacing w:val="0"/>
                <w:w w:val="100"/>
                <w:position w:val="0"/>
                <w:sz w:val="21"/>
                <w:szCs w:val="21"/>
                <w:highlight w:val="none"/>
              </w:rPr>
              <w:t>t/h</w:t>
            </w:r>
            <w:r>
              <w:rPr>
                <w:rFonts w:hint="eastAsia" w:cs="Times New Roman"/>
                <w:caps w:val="0"/>
                <w:smallCaps w:val="0"/>
                <w:color w:val="auto"/>
                <w:spacing w:val="0"/>
                <w:w w:val="100"/>
                <w:position w:val="0"/>
                <w:sz w:val="21"/>
                <w:szCs w:val="21"/>
                <w:highlight w:val="none"/>
                <w:lang w:eastAsia="zh-CN"/>
              </w:rPr>
              <w:t>燃煤</w:t>
            </w:r>
            <w:r>
              <w:rPr>
                <w:rFonts w:ascii="Times New Roman" w:hAnsi="Times New Roman" w:eastAsia="宋体" w:cs="Times New Roman"/>
                <w:caps w:val="0"/>
                <w:smallCaps w:val="0"/>
                <w:color w:val="auto"/>
                <w:spacing w:val="0"/>
                <w:w w:val="100"/>
                <w:position w:val="0"/>
                <w:sz w:val="21"/>
                <w:szCs w:val="21"/>
                <w:highlight w:val="none"/>
              </w:rPr>
              <w:t>锅炉</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改为</w:t>
            </w:r>
            <w:r>
              <w:rPr>
                <w:rFonts w:ascii="Times New Roman" w:hAnsi="Times New Roman" w:eastAsia="宋体" w:cs="Times New Roman"/>
                <w:caps w:val="0"/>
                <w:smallCaps w:val="0"/>
                <w:color w:val="auto"/>
                <w:spacing w:val="0"/>
                <w:w w:val="100"/>
                <w:position w:val="0"/>
                <w:sz w:val="21"/>
                <w:szCs w:val="21"/>
                <w:highlight w:val="none"/>
              </w:rPr>
              <w:t>一台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w:t>
            </w:r>
            <w:r>
              <w:rPr>
                <w:rFonts w:ascii="Times New Roman" w:hAnsi="Times New Roman" w:eastAsia="宋体" w:cs="Times New Roman"/>
                <w:caps w:val="0"/>
                <w:smallCaps w:val="0"/>
                <w:color w:val="auto"/>
                <w:spacing w:val="0"/>
                <w:w w:val="100"/>
                <w:position w:val="0"/>
                <w:sz w:val="21"/>
                <w:szCs w:val="21"/>
                <w:highlight w:val="none"/>
              </w:rPr>
              <w:t>t/h</w:t>
            </w:r>
            <w:r>
              <w:rPr>
                <w:rFonts w:hint="eastAsia" w:cs="Times New Roman"/>
                <w:caps w:val="0"/>
                <w:smallCaps w:val="0"/>
                <w:color w:val="auto"/>
                <w:spacing w:val="0"/>
                <w:w w:val="100"/>
                <w:position w:val="0"/>
                <w:sz w:val="21"/>
                <w:szCs w:val="21"/>
                <w:highlight w:val="none"/>
                <w:lang w:eastAsia="zh-CN"/>
              </w:rPr>
              <w:t>生物质</w:t>
            </w:r>
            <w:r>
              <w:rPr>
                <w:rFonts w:ascii="Times New Roman" w:hAnsi="Times New Roman" w:eastAsia="宋体" w:cs="Times New Roman"/>
                <w:caps w:val="0"/>
                <w:smallCaps w:val="0"/>
                <w:color w:val="auto"/>
                <w:spacing w:val="0"/>
                <w:w w:val="100"/>
                <w:position w:val="0"/>
                <w:sz w:val="21"/>
                <w:szCs w:val="21"/>
                <w:highlight w:val="none"/>
              </w:rPr>
              <w:t>锅炉</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生产及生活</w:t>
            </w:r>
            <w:r>
              <w:rPr>
                <w:rFonts w:hint="eastAsia" w:ascii="Times New Roman" w:hAnsi="Times New Roman" w:eastAsia="宋体" w:cs="Times New Roman"/>
                <w:caps w:val="0"/>
                <w:smallCaps w:val="0"/>
                <w:color w:val="auto"/>
                <w:spacing w:val="0"/>
                <w:w w:val="100"/>
                <w:position w:val="0"/>
                <w:sz w:val="21"/>
                <w:szCs w:val="21"/>
                <w:highlight w:val="none"/>
                <w:lang w:eastAsia="zh-CN"/>
              </w:rPr>
              <w:t>供热</w:t>
            </w:r>
            <w:r>
              <w:rPr>
                <w:rFonts w:ascii="Times New Roman" w:hAnsi="Times New Roman" w:eastAsia="宋体" w:cs="Times New Roman"/>
                <w:caps w:val="0"/>
                <w:smallCaps w:val="0"/>
                <w:color w:val="auto"/>
                <w:spacing w:val="0"/>
                <w:w w:val="100"/>
                <w:position w:val="0"/>
                <w:sz w:val="21"/>
                <w:szCs w:val="21"/>
                <w:highlight w:val="none"/>
              </w:rPr>
              <w:t>由一台</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w:t>
            </w:r>
            <w:r>
              <w:rPr>
                <w:rFonts w:ascii="Times New Roman" w:hAnsi="Times New Roman" w:eastAsia="宋体" w:cs="Times New Roman"/>
                <w:caps w:val="0"/>
                <w:smallCaps w:val="0"/>
                <w:color w:val="auto"/>
                <w:spacing w:val="0"/>
                <w:w w:val="100"/>
                <w:position w:val="0"/>
                <w:sz w:val="21"/>
                <w:szCs w:val="21"/>
                <w:highlight w:val="none"/>
              </w:rPr>
              <w:t>t/h</w:t>
            </w:r>
            <w:r>
              <w:rPr>
                <w:rFonts w:hint="eastAsia" w:ascii="Times New Roman" w:hAnsi="Times New Roman" w:eastAsia="宋体" w:cs="Times New Roman"/>
                <w:caps w:val="0"/>
                <w:smallCaps w:val="0"/>
                <w:color w:val="auto"/>
                <w:spacing w:val="0"/>
                <w:w w:val="100"/>
                <w:position w:val="0"/>
                <w:sz w:val="21"/>
                <w:szCs w:val="21"/>
                <w:highlight w:val="none"/>
                <w:lang w:eastAsia="zh-CN"/>
              </w:rPr>
              <w:t>生物质</w:t>
            </w:r>
            <w:r>
              <w:rPr>
                <w:rFonts w:ascii="Times New Roman" w:hAnsi="Times New Roman" w:eastAsia="宋体" w:cs="Times New Roman"/>
                <w:caps w:val="0"/>
                <w:smallCaps w:val="0"/>
                <w:color w:val="auto"/>
                <w:spacing w:val="0"/>
                <w:w w:val="100"/>
                <w:position w:val="0"/>
                <w:sz w:val="21"/>
                <w:szCs w:val="21"/>
                <w:highlight w:val="none"/>
              </w:rPr>
              <w:t>锅炉提供</w:t>
            </w:r>
            <w:r>
              <w:rPr>
                <w:rFonts w:hint="eastAsia" w:cs="Times New Roman"/>
                <w:caps w:val="0"/>
                <w:smallCaps w:val="0"/>
                <w:color w:val="auto"/>
                <w:spacing w:val="0"/>
                <w:w w:val="100"/>
                <w:position w:val="0"/>
                <w:sz w:val="21"/>
                <w:szCs w:val="21"/>
                <w:highlight w:val="none"/>
                <w:lang w:eastAsia="zh-CN"/>
              </w:rPr>
              <w:t>。</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cs="Times New Roman"/>
                <w:caps w:val="0"/>
                <w:smallCaps w:val="0"/>
                <w:color w:val="auto"/>
                <w:spacing w:val="0"/>
                <w:w w:val="100"/>
                <w:position w:val="0"/>
                <w:sz w:val="21"/>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环保工程</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污水处理工程</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污水处理站：循环处理能力为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960</w:t>
            </w:r>
            <w:r>
              <w:rPr>
                <w:rFonts w:ascii="Times New Roman" w:hAnsi="Times New Roman" w:eastAsia="宋体" w:cs="Times New Roman"/>
                <w:caps w:val="0"/>
                <w:smallCaps w:val="0"/>
                <w:color w:val="auto"/>
                <w:spacing w:val="0"/>
                <w:w w:val="100"/>
                <w:position w:val="0"/>
                <w:sz w:val="21"/>
                <w:szCs w:val="21"/>
                <w:highlight w:val="none"/>
              </w:rPr>
              <w:t>t/d</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cs="Times New Roman"/>
                <w:caps w:val="0"/>
                <w:smallCaps w:val="0"/>
                <w:color w:val="auto"/>
                <w:spacing w:val="0"/>
                <w:w w:val="100"/>
                <w:position w:val="0"/>
                <w:sz w:val="21"/>
                <w:szCs w:val="21"/>
                <w:highlight w:val="none"/>
                <w:lang w:val="en-US" w:eastAsia="zh-CN"/>
              </w:rPr>
              <w:t>设置</w:t>
            </w:r>
            <w:r>
              <w:rPr>
                <w:rFonts w:hint="eastAsia" w:cs="Times New Roman"/>
                <w:caps w:val="0"/>
                <w:smallCaps w:val="0"/>
                <w:color w:val="auto"/>
                <w:spacing w:val="0"/>
                <w:w w:val="100"/>
                <w:position w:val="0"/>
                <w:sz w:val="21"/>
                <w:szCs w:val="21"/>
                <w:highlight w:val="none"/>
                <w:lang w:eastAsia="zh-CN"/>
              </w:rPr>
              <w:t>污水池</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3座，每座120m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，曝气池</w:t>
            </w:r>
            <w:r>
              <w:rPr>
                <w:rFonts w:hint="eastAsia" w:cs="Times New Roman"/>
                <w:caps w:val="0"/>
                <w:smallCaps w:val="0"/>
                <w:color w:val="auto"/>
                <w:spacing w:val="0"/>
                <w:w w:val="100"/>
                <w:position w:val="0"/>
                <w:sz w:val="21"/>
                <w:szCs w:val="21"/>
                <w:highlight w:val="none"/>
                <w:lang w:val="en-US" w:eastAsia="zh-CN"/>
              </w:rPr>
              <w:t>450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，2座沉淀池，每座50m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，废渣池</w:t>
            </w:r>
            <w:r>
              <w:rPr>
                <w:rFonts w:hint="eastAsia" w:cs="Times New Roman"/>
                <w:caps w:val="0"/>
                <w:smallCaps w:val="0"/>
                <w:color w:val="auto"/>
                <w:spacing w:val="0"/>
                <w:w w:val="100"/>
                <w:position w:val="0"/>
                <w:sz w:val="21"/>
                <w:szCs w:val="21"/>
                <w:highlight w:val="none"/>
                <w:lang w:val="en-US" w:eastAsia="zh-CN"/>
              </w:rPr>
              <w:t>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污水处理站：循环处理能力为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960</w:t>
            </w:r>
            <w:r>
              <w:rPr>
                <w:rFonts w:ascii="Times New Roman" w:hAnsi="Times New Roman" w:eastAsia="宋体" w:cs="Times New Roman"/>
                <w:caps w:val="0"/>
                <w:smallCaps w:val="0"/>
                <w:color w:val="auto"/>
                <w:spacing w:val="0"/>
                <w:w w:val="100"/>
                <w:position w:val="0"/>
                <w:sz w:val="21"/>
                <w:szCs w:val="21"/>
                <w:highlight w:val="none"/>
              </w:rPr>
              <w:t>t/d</w:t>
            </w:r>
            <w:r>
              <w:rPr>
                <w:rFonts w:hint="eastAsia" w:ascii="Times New Roman" w:hAnsi="Times New Roman" w:eastAsia="宋体" w:cs="Times New Roman"/>
                <w:caps w:val="0"/>
                <w:smallCaps w:val="0"/>
                <w:color w:val="auto"/>
                <w:spacing w:val="0"/>
                <w:w w:val="100"/>
                <w:position w:val="0"/>
                <w:sz w:val="21"/>
                <w:szCs w:val="21"/>
                <w:highlight w:val="none"/>
                <w:lang w:eastAsia="zh-CN"/>
              </w:rPr>
              <w:t>，设</w:t>
            </w:r>
            <w:r>
              <w:rPr>
                <w:rFonts w:hint="eastAsia" w:cs="Times New Roman"/>
                <w:caps w:val="0"/>
                <w:smallCaps w:val="0"/>
                <w:color w:val="auto"/>
                <w:spacing w:val="0"/>
                <w:w w:val="100"/>
                <w:position w:val="0"/>
                <w:sz w:val="21"/>
                <w:szCs w:val="21"/>
                <w:highlight w:val="none"/>
                <w:lang w:eastAsia="zh-CN"/>
              </w:rPr>
              <w:t>污水池</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3座，每座120m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，曝气池</w:t>
            </w:r>
            <w:r>
              <w:rPr>
                <w:rFonts w:hint="eastAsia" w:cs="Times New Roman"/>
                <w:caps w:val="0"/>
                <w:smallCaps w:val="0"/>
                <w:color w:val="auto"/>
                <w:spacing w:val="0"/>
                <w:w w:val="100"/>
                <w:position w:val="0"/>
                <w:sz w:val="21"/>
                <w:szCs w:val="21"/>
                <w:highlight w:val="none"/>
                <w:lang w:val="en-US" w:eastAsia="zh-CN"/>
              </w:rPr>
              <w:t>450</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vertAlign w:val="baseline"/>
                <w:lang w:val="en-US" w:eastAsia="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2座沉淀池，每座50m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，废渣池</w:t>
            </w:r>
            <w:r>
              <w:rPr>
                <w:rFonts w:hint="eastAsia" w:cs="Times New Roman"/>
                <w:caps w:val="0"/>
                <w:smallCaps w:val="0"/>
                <w:color w:val="auto"/>
                <w:spacing w:val="0"/>
                <w:w w:val="100"/>
                <w:position w:val="0"/>
                <w:sz w:val="21"/>
                <w:szCs w:val="21"/>
                <w:highlight w:val="none"/>
                <w:lang w:val="en-US" w:eastAsia="zh-CN"/>
              </w:rPr>
              <w:t>5</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p>
        </w:tc>
        <w:tc>
          <w:tcPr>
            <w:tcW w:w="29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cs="Times New Roman"/>
                <w:caps w:val="0"/>
                <w:smallCaps w:val="0"/>
                <w:color w:val="auto"/>
                <w:spacing w:val="0"/>
                <w:w w:val="100"/>
                <w:position w:val="0"/>
                <w:sz w:val="21"/>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废气治理工程</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锅炉烟气经</w:t>
            </w:r>
            <w:r>
              <w:rPr>
                <w:rFonts w:hint="eastAsia" w:ascii="Times New Roman" w:hAnsi="Times New Roman" w:eastAsia="宋体" w:cs="Times New Roman"/>
                <w:caps w:val="0"/>
                <w:smallCaps w:val="0"/>
                <w:color w:val="auto"/>
                <w:spacing w:val="0"/>
                <w:w w:val="100"/>
                <w:position w:val="0"/>
                <w:sz w:val="21"/>
                <w:szCs w:val="21"/>
                <w:highlight w:val="none"/>
                <w:lang w:eastAsia="zh-CN"/>
              </w:rPr>
              <w:t>水膜除尘</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+35</w:t>
            </w:r>
            <w:r>
              <w:rPr>
                <w:rFonts w:ascii="Times New Roman" w:hAnsi="Times New Roman" w:eastAsia="宋体" w:cs="Times New Roman"/>
                <w:caps w:val="0"/>
                <w:smallCaps w:val="0"/>
                <w:color w:val="auto"/>
                <w:spacing w:val="0"/>
                <w:w w:val="100"/>
                <w:position w:val="0"/>
                <w:sz w:val="21"/>
                <w:szCs w:val="21"/>
                <w:highlight w:val="none"/>
              </w:rPr>
              <w:t>m高排气筒排放</w:t>
            </w:r>
            <w:r>
              <w:rPr>
                <w:rFonts w:hint="eastAsia" w:ascii="Times New Roman" w:hAnsi="Times New Roman" w:eastAsia="宋体" w:cs="Times New Roman"/>
                <w:caps w:val="0"/>
                <w:smallCaps w:val="0"/>
                <w:color w:val="auto"/>
                <w:spacing w:val="0"/>
                <w:w w:val="100"/>
                <w:position w:val="0"/>
                <w:sz w:val="21"/>
                <w:szCs w:val="21"/>
                <w:highlight w:val="none"/>
                <w:lang w:eastAsia="zh-CN"/>
              </w:rPr>
              <w:t>，污水处理工程产生的废气采取负压收集</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+活性炭吸附+15高排气筒</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锅炉烟气经</w:t>
            </w:r>
            <w:r>
              <w:rPr>
                <w:rFonts w:hint="eastAsia" w:ascii="Times New Roman" w:hAnsi="Times New Roman" w:eastAsia="宋体" w:cs="Times New Roman"/>
                <w:caps w:val="0"/>
                <w:smallCaps w:val="0"/>
                <w:color w:val="auto"/>
                <w:spacing w:val="0"/>
                <w:w w:val="100"/>
                <w:position w:val="0"/>
                <w:sz w:val="21"/>
                <w:szCs w:val="21"/>
                <w:highlight w:val="none"/>
                <w:lang w:eastAsia="zh-CN"/>
              </w:rPr>
              <w:t>水膜除尘</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改为</w:t>
            </w:r>
            <w:r>
              <w:rPr>
                <w:rFonts w:hint="eastAsia" w:cs="Times New Roman"/>
                <w:caps w:val="0"/>
                <w:smallCaps w:val="0"/>
                <w:color w:val="auto"/>
                <w:spacing w:val="0"/>
                <w:w w:val="100"/>
                <w:position w:val="0"/>
                <w:sz w:val="21"/>
                <w:szCs w:val="21"/>
                <w:highlight w:val="none"/>
                <w:lang w:eastAsia="zh-CN"/>
              </w:rPr>
              <w:t>袋式</w:t>
            </w:r>
            <w:r>
              <w:rPr>
                <w:rFonts w:hint="eastAsia" w:ascii="Times New Roman" w:hAnsi="Times New Roman" w:eastAsia="宋体" w:cs="Times New Roman"/>
                <w:caps w:val="0"/>
                <w:smallCaps w:val="0"/>
                <w:color w:val="auto"/>
                <w:spacing w:val="0"/>
                <w:w w:val="100"/>
                <w:position w:val="0"/>
                <w:sz w:val="21"/>
                <w:szCs w:val="21"/>
                <w:highlight w:val="none"/>
                <w:lang w:eastAsia="zh-CN"/>
              </w:rPr>
              <w:t>除尘</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锅炉烟气经</w:t>
            </w:r>
            <w:r>
              <w:rPr>
                <w:rFonts w:hint="eastAsia" w:cs="Times New Roman"/>
                <w:caps w:val="0"/>
                <w:smallCaps w:val="0"/>
                <w:color w:val="auto"/>
                <w:spacing w:val="0"/>
                <w:w w:val="100"/>
                <w:position w:val="0"/>
                <w:sz w:val="21"/>
                <w:szCs w:val="21"/>
                <w:highlight w:val="none"/>
                <w:lang w:eastAsia="zh-CN"/>
              </w:rPr>
              <w:t>袋式</w:t>
            </w:r>
            <w:r>
              <w:rPr>
                <w:rFonts w:hint="eastAsia" w:ascii="Times New Roman" w:hAnsi="Times New Roman" w:eastAsia="宋体" w:cs="Times New Roman"/>
                <w:caps w:val="0"/>
                <w:smallCaps w:val="0"/>
                <w:color w:val="auto"/>
                <w:spacing w:val="0"/>
                <w:w w:val="100"/>
                <w:position w:val="0"/>
                <w:sz w:val="21"/>
                <w:szCs w:val="21"/>
                <w:highlight w:val="none"/>
                <w:lang w:eastAsia="zh-CN"/>
              </w:rPr>
              <w:t>除尘</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+35</w:t>
            </w:r>
            <w:r>
              <w:rPr>
                <w:rFonts w:ascii="Times New Roman" w:hAnsi="Times New Roman" w:eastAsia="宋体" w:cs="Times New Roman"/>
                <w:caps w:val="0"/>
                <w:smallCaps w:val="0"/>
                <w:color w:val="auto"/>
                <w:spacing w:val="0"/>
                <w:w w:val="100"/>
                <w:position w:val="0"/>
                <w:sz w:val="21"/>
                <w:szCs w:val="21"/>
                <w:highlight w:val="none"/>
              </w:rPr>
              <w:t>m高排气筒排放</w:t>
            </w:r>
            <w:r>
              <w:rPr>
                <w:rFonts w:hint="eastAsia" w:ascii="Times New Roman" w:hAnsi="Times New Roman" w:eastAsia="宋体" w:cs="Times New Roman"/>
                <w:caps w:val="0"/>
                <w:smallCaps w:val="0"/>
                <w:color w:val="auto"/>
                <w:spacing w:val="0"/>
                <w:w w:val="100"/>
                <w:position w:val="0"/>
                <w:sz w:val="21"/>
                <w:szCs w:val="21"/>
                <w:highlight w:val="none"/>
                <w:lang w:eastAsia="zh-CN"/>
              </w:rPr>
              <w:t>，污水处理工程产生的废气采取负压收集</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+活性炭吸附+15高排气筒</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噪声处理工程</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高噪声设备均位于室内并采取减震、隔声等措施。</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高噪声设备均位于室内并采取减震、隔声等措施。</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固废收集</w:t>
            </w:r>
          </w:p>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及防渗</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污水处理站</w:t>
            </w:r>
            <w:r>
              <w:rPr>
                <w:rFonts w:hint="eastAsia" w:ascii="Times New Roman" w:hAnsi="Times New Roman" w:eastAsia="宋体" w:cs="Times New Roman"/>
                <w:caps w:val="0"/>
                <w:smallCaps w:val="0"/>
                <w:color w:val="auto"/>
                <w:spacing w:val="0"/>
                <w:w w:val="100"/>
                <w:position w:val="0"/>
                <w:sz w:val="21"/>
                <w:szCs w:val="21"/>
                <w:highlight w:val="none"/>
              </w:rPr>
              <w:t>沉淀污泥经</w:t>
            </w:r>
            <w:r>
              <w:rPr>
                <w:rFonts w:hint="eastAsia" w:cs="Times New Roman"/>
                <w:caps w:val="0"/>
                <w:smallCaps w:val="0"/>
                <w:color w:val="auto"/>
                <w:spacing w:val="0"/>
                <w:w w:val="100"/>
                <w:position w:val="0"/>
                <w:sz w:val="21"/>
                <w:szCs w:val="21"/>
                <w:highlight w:val="none"/>
                <w:lang w:val="en-US" w:eastAsia="zh-CN"/>
              </w:rPr>
              <w:t>脱水机脱水</w:t>
            </w:r>
            <w:r>
              <w:rPr>
                <w:rFonts w:hint="eastAsia" w:ascii="Times New Roman" w:hAnsi="Times New Roman" w:eastAsia="宋体" w:cs="Times New Roman"/>
                <w:caps w:val="0"/>
                <w:smallCaps w:val="0"/>
                <w:color w:val="auto"/>
                <w:spacing w:val="0"/>
                <w:w w:val="100"/>
                <w:position w:val="0"/>
                <w:sz w:val="21"/>
                <w:szCs w:val="21"/>
                <w:highlight w:val="none"/>
              </w:rPr>
              <w:t>后外售砖厂制砖，</w:t>
            </w:r>
            <w:r>
              <w:rPr>
                <w:rFonts w:ascii="Times New Roman" w:hAnsi="Times New Roman" w:eastAsia="宋体" w:cs="Times New Roman"/>
                <w:caps w:val="0"/>
                <w:smallCaps w:val="0"/>
                <w:color w:val="auto"/>
                <w:spacing w:val="0"/>
                <w:w w:val="100"/>
                <w:position w:val="0"/>
                <w:sz w:val="21"/>
                <w:szCs w:val="21"/>
                <w:highlight w:val="none"/>
              </w:rPr>
              <w:t>生活垃圾收集后运至垃圾填埋场；</w:t>
            </w:r>
            <w:r>
              <w:rPr>
                <w:rFonts w:hint="eastAsia" w:ascii="Times New Roman" w:hAnsi="Times New Roman" w:eastAsia="宋体" w:cs="Times New Roman"/>
                <w:caps w:val="0"/>
                <w:smallCaps w:val="0"/>
                <w:color w:val="auto"/>
                <w:spacing w:val="0"/>
                <w:w w:val="100"/>
                <w:position w:val="0"/>
                <w:sz w:val="21"/>
                <w:szCs w:val="21"/>
                <w:highlight w:val="none"/>
                <w:lang w:eastAsia="zh-CN"/>
              </w:rPr>
              <w:t>杂质</w:t>
            </w:r>
            <w:r>
              <w:rPr>
                <w:rFonts w:hint="eastAsia" w:cs="Times New Roman"/>
                <w:caps w:val="0"/>
                <w:smallCaps w:val="0"/>
                <w:color w:val="auto"/>
                <w:spacing w:val="0"/>
                <w:w w:val="100"/>
                <w:position w:val="0"/>
                <w:sz w:val="21"/>
                <w:szCs w:val="21"/>
                <w:highlight w:val="none"/>
                <w:lang w:eastAsia="zh-CN"/>
              </w:rPr>
              <w:t>（</w:t>
            </w:r>
            <w:r>
              <w:rPr>
                <w:rFonts w:hint="eastAsia" w:cs="Times New Roman"/>
                <w:caps w:val="0"/>
                <w:smallCaps w:val="0"/>
                <w:color w:val="auto"/>
                <w:spacing w:val="0"/>
                <w:w w:val="100"/>
                <w:position w:val="0"/>
                <w:sz w:val="21"/>
                <w:szCs w:val="21"/>
                <w:highlight w:val="none"/>
                <w:lang w:val="en-US" w:eastAsia="zh-CN"/>
              </w:rPr>
              <w:t>砂、土、纤维</w:t>
            </w:r>
            <w:r>
              <w:rPr>
                <w:rFonts w:hint="eastAsia"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外售资源化处置</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废离子交换树脂</w:t>
            </w:r>
            <w:r>
              <w:rPr>
                <w:rFonts w:hint="eastAsia" w:cs="Times New Roman"/>
                <w:caps w:val="0"/>
                <w:smallCaps w:val="0"/>
                <w:color w:val="auto"/>
                <w:spacing w:val="0"/>
                <w:w w:val="100"/>
                <w:position w:val="0"/>
                <w:sz w:val="21"/>
                <w:szCs w:val="21"/>
                <w:highlight w:val="none"/>
                <w:lang w:eastAsia="zh-CN"/>
              </w:rPr>
              <w:t>由厂家更换时回收处理；</w:t>
            </w:r>
            <w:r>
              <w:rPr>
                <w:rFonts w:hint="eastAsia" w:ascii="Times New Roman" w:hAnsi="Times New Roman" w:eastAsia="宋体" w:cs="Times New Roman"/>
                <w:caps w:val="0"/>
                <w:smallCaps w:val="0"/>
                <w:color w:val="auto"/>
                <w:spacing w:val="0"/>
                <w:w w:val="100"/>
                <w:position w:val="0"/>
                <w:sz w:val="21"/>
                <w:szCs w:val="21"/>
                <w:highlight w:val="none"/>
                <w:lang w:eastAsia="zh-CN"/>
              </w:rPr>
              <w:t>废机油、废活性炭、设危险废物暂存间，暂存后委托有资质单位处置</w:t>
            </w:r>
            <w:r>
              <w:rPr>
                <w:rFonts w:ascii="Times New Roman" w:hAnsi="Times New Roman" w:eastAsia="宋体" w:cs="Times New Roman"/>
                <w:caps w:val="0"/>
                <w:smallCaps w:val="0"/>
                <w:color w:val="auto"/>
                <w:spacing w:val="0"/>
                <w:w w:val="100"/>
                <w:position w:val="0"/>
                <w:sz w:val="21"/>
                <w:szCs w:val="21"/>
                <w:highlight w:val="none"/>
              </w:rPr>
              <w:t>。</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w:t>
            </w:r>
            <w:r>
              <w:rPr>
                <w:rFonts w:hint="eastAsia" w:ascii="Times New Roman" w:hAnsi="Times New Roman" w:eastAsia="宋体" w:cs="Times New Roman"/>
                <w:caps w:val="0"/>
                <w:smallCaps w:val="0"/>
                <w:color w:val="auto"/>
                <w:spacing w:val="0"/>
                <w:w w:val="100"/>
                <w:position w:val="0"/>
                <w:sz w:val="21"/>
                <w:szCs w:val="21"/>
                <w:highlight w:val="none"/>
              </w:rPr>
              <w:t>沉淀污泥经</w:t>
            </w:r>
            <w:r>
              <w:rPr>
                <w:rFonts w:hint="eastAsia" w:cs="Times New Roman"/>
                <w:caps w:val="0"/>
                <w:smallCaps w:val="0"/>
                <w:color w:val="auto"/>
                <w:spacing w:val="0"/>
                <w:w w:val="100"/>
                <w:position w:val="0"/>
                <w:sz w:val="21"/>
                <w:szCs w:val="21"/>
                <w:highlight w:val="none"/>
                <w:lang w:val="en-US" w:eastAsia="zh-CN"/>
              </w:rPr>
              <w:t>脱水机脱水</w:t>
            </w:r>
            <w:r>
              <w:rPr>
                <w:rFonts w:hint="eastAsia" w:ascii="Times New Roman" w:hAnsi="Times New Roman" w:eastAsia="宋体" w:cs="Times New Roman"/>
                <w:caps w:val="0"/>
                <w:smallCaps w:val="0"/>
                <w:color w:val="auto"/>
                <w:spacing w:val="0"/>
                <w:w w:val="100"/>
                <w:position w:val="0"/>
                <w:sz w:val="21"/>
                <w:szCs w:val="21"/>
                <w:highlight w:val="none"/>
              </w:rPr>
              <w:t>后外售砖厂制砖，</w:t>
            </w:r>
            <w:r>
              <w:rPr>
                <w:rFonts w:ascii="Times New Roman" w:hAnsi="Times New Roman" w:eastAsia="宋体" w:cs="Times New Roman"/>
                <w:caps w:val="0"/>
                <w:smallCaps w:val="0"/>
                <w:color w:val="auto"/>
                <w:spacing w:val="0"/>
                <w:w w:val="100"/>
                <w:position w:val="0"/>
                <w:sz w:val="21"/>
                <w:szCs w:val="21"/>
                <w:highlight w:val="none"/>
              </w:rPr>
              <w:t>生活垃圾收集后运至垃圾填埋场；</w:t>
            </w:r>
            <w:r>
              <w:rPr>
                <w:rFonts w:hint="eastAsia" w:ascii="Times New Roman" w:hAnsi="Times New Roman" w:eastAsia="宋体" w:cs="Times New Roman"/>
                <w:caps w:val="0"/>
                <w:smallCaps w:val="0"/>
                <w:color w:val="auto"/>
                <w:spacing w:val="0"/>
                <w:w w:val="100"/>
                <w:position w:val="0"/>
                <w:sz w:val="21"/>
                <w:szCs w:val="21"/>
                <w:highlight w:val="none"/>
                <w:lang w:eastAsia="zh-CN"/>
              </w:rPr>
              <w:t>杂质</w:t>
            </w:r>
            <w:r>
              <w:rPr>
                <w:rFonts w:hint="eastAsia" w:cs="Times New Roman"/>
                <w:caps w:val="0"/>
                <w:smallCaps w:val="0"/>
                <w:color w:val="auto"/>
                <w:spacing w:val="0"/>
                <w:w w:val="100"/>
                <w:position w:val="0"/>
                <w:sz w:val="21"/>
                <w:szCs w:val="21"/>
                <w:highlight w:val="none"/>
                <w:lang w:eastAsia="zh-CN"/>
              </w:rPr>
              <w:t>（</w:t>
            </w:r>
            <w:r>
              <w:rPr>
                <w:rFonts w:hint="eastAsia" w:cs="Times New Roman"/>
                <w:caps w:val="0"/>
                <w:smallCaps w:val="0"/>
                <w:color w:val="auto"/>
                <w:spacing w:val="0"/>
                <w:w w:val="100"/>
                <w:position w:val="0"/>
                <w:sz w:val="21"/>
                <w:szCs w:val="21"/>
                <w:highlight w:val="none"/>
                <w:lang w:val="en-US" w:eastAsia="zh-CN"/>
              </w:rPr>
              <w:t>砂、土、纤维</w:t>
            </w:r>
            <w:r>
              <w:rPr>
                <w:rFonts w:hint="eastAsia"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外售资源化处置</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废离子交换树脂</w:t>
            </w:r>
            <w:r>
              <w:rPr>
                <w:rFonts w:hint="eastAsia" w:cs="Times New Roman"/>
                <w:caps w:val="0"/>
                <w:smallCaps w:val="0"/>
                <w:color w:val="auto"/>
                <w:spacing w:val="0"/>
                <w:w w:val="100"/>
                <w:position w:val="0"/>
                <w:sz w:val="21"/>
                <w:szCs w:val="21"/>
                <w:highlight w:val="none"/>
                <w:lang w:eastAsia="zh-CN"/>
              </w:rPr>
              <w:t>由厂家更换时回收处理；</w:t>
            </w:r>
            <w:r>
              <w:rPr>
                <w:rFonts w:hint="eastAsia" w:ascii="Times New Roman" w:hAnsi="Times New Roman" w:eastAsia="宋体" w:cs="Times New Roman"/>
                <w:caps w:val="0"/>
                <w:smallCaps w:val="0"/>
                <w:color w:val="auto"/>
                <w:spacing w:val="0"/>
                <w:w w:val="100"/>
                <w:position w:val="0"/>
                <w:sz w:val="21"/>
                <w:szCs w:val="21"/>
                <w:highlight w:val="none"/>
                <w:lang w:eastAsia="zh-CN"/>
              </w:rPr>
              <w:t>废机油、</w:t>
            </w:r>
            <w:r>
              <w:rPr>
                <w:rFonts w:hint="eastAsia" w:cs="Times New Roman"/>
                <w:caps w:val="0"/>
                <w:smallCaps w:val="0"/>
                <w:color w:val="auto"/>
                <w:spacing w:val="0"/>
                <w:w w:val="100"/>
                <w:position w:val="0"/>
                <w:sz w:val="21"/>
                <w:szCs w:val="21"/>
                <w:highlight w:val="none"/>
                <w:lang w:val="en-US" w:eastAsia="zh-CN"/>
              </w:rPr>
              <w:t>废活性炭</w:t>
            </w:r>
            <w:r>
              <w:rPr>
                <w:rFonts w:hint="eastAsia" w:ascii="Times New Roman" w:hAnsi="Times New Roman" w:eastAsia="宋体" w:cs="Times New Roman"/>
                <w:caps w:val="0"/>
                <w:smallCaps w:val="0"/>
                <w:color w:val="auto"/>
                <w:spacing w:val="0"/>
                <w:w w:val="100"/>
                <w:position w:val="0"/>
                <w:sz w:val="21"/>
                <w:szCs w:val="21"/>
                <w:highlight w:val="none"/>
                <w:lang w:eastAsia="zh-CN"/>
              </w:rPr>
              <w:t>设危险废物暂存间，暂存后委托有资质单位处置</w:t>
            </w:r>
            <w:r>
              <w:rPr>
                <w:rFonts w:ascii="Times New Roman" w:hAnsi="Times New Roman" w:eastAsia="宋体" w:cs="Times New Roman"/>
                <w:caps w:val="0"/>
                <w:smallCaps w:val="0"/>
                <w:color w:val="auto"/>
                <w:spacing w:val="0"/>
                <w:w w:val="100"/>
                <w:position w:val="0"/>
                <w:sz w:val="21"/>
                <w:szCs w:val="21"/>
                <w:highlight w:val="none"/>
              </w:rPr>
              <w:t>。</w:t>
            </w:r>
          </w:p>
        </w:tc>
        <w:tc>
          <w:tcPr>
            <w:tcW w:w="29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0" w:hRule="atLeast"/>
          <w:jc w:val="center"/>
        </w:trPr>
        <w:tc>
          <w:tcPr>
            <w:tcW w:w="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应急事故池</w:t>
            </w:r>
          </w:p>
        </w:tc>
        <w:tc>
          <w:tcPr>
            <w:tcW w:w="13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应急事故池位于生产车间</w:t>
            </w:r>
            <w:r>
              <w:rPr>
                <w:rFonts w:hint="eastAsia" w:cs="Times New Roman"/>
                <w:caps w:val="0"/>
                <w:smallCaps w:val="0"/>
                <w:color w:val="auto"/>
                <w:spacing w:val="0"/>
                <w:w w:val="100"/>
                <w:position w:val="0"/>
                <w:sz w:val="21"/>
                <w:szCs w:val="21"/>
                <w:highlight w:val="none"/>
                <w:lang w:eastAsia="zh-CN"/>
              </w:rPr>
              <w:t>北</w:t>
            </w:r>
            <w:r>
              <w:rPr>
                <w:rFonts w:hint="eastAsia" w:ascii="Times New Roman" w:hAnsi="Times New Roman" w:eastAsia="宋体" w:cs="Times New Roman"/>
                <w:caps w:val="0"/>
                <w:smallCaps w:val="0"/>
                <w:color w:val="auto"/>
                <w:spacing w:val="0"/>
                <w:w w:val="100"/>
                <w:position w:val="0"/>
                <w:sz w:val="21"/>
                <w:szCs w:val="21"/>
                <w:highlight w:val="none"/>
                <w:lang w:eastAsia="zh-CN"/>
              </w:rPr>
              <w:t>侧，容积为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2500m</w:t>
            </w:r>
            <w:r>
              <w:rPr>
                <w:rFonts w:hint="eastAsia" w:ascii="Times New Roman" w:hAnsi="Times New Roman" w:eastAsia="宋体" w:cs="Times New Roman"/>
                <w:caps w:val="0"/>
                <w:smallCaps w:val="0"/>
                <w:color w:val="auto"/>
                <w:spacing w:val="0"/>
                <w:w w:val="100"/>
                <w:position w:val="0"/>
                <w:sz w:val="21"/>
                <w:szCs w:val="21"/>
                <w:highlight w:val="none"/>
                <w:vertAlign w:val="superscript"/>
                <w:lang w:val="en-US" w:eastAsia="zh-CN"/>
              </w:rPr>
              <w:t>3</w:t>
            </w:r>
          </w:p>
        </w:tc>
        <w:tc>
          <w:tcPr>
            <w:tcW w:w="10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本次</w:t>
            </w:r>
            <w:r>
              <w:rPr>
                <w:rFonts w:hint="eastAsia" w:cs="Times New Roman"/>
                <w:caps w:val="0"/>
                <w:smallCaps w:val="0"/>
                <w:color w:val="auto"/>
                <w:spacing w:val="0"/>
                <w:w w:val="100"/>
                <w:position w:val="0"/>
                <w:sz w:val="21"/>
                <w:szCs w:val="21"/>
                <w:highlight w:val="none"/>
                <w:lang w:eastAsia="zh-CN"/>
              </w:rPr>
              <w:t>依托现有工程，</w:t>
            </w:r>
            <w:r>
              <w:rPr>
                <w:rFonts w:hint="eastAsia" w:ascii="Times New Roman" w:hAnsi="Times New Roman" w:eastAsia="宋体" w:cs="Times New Roman"/>
                <w:caps w:val="0"/>
                <w:smallCaps w:val="0"/>
                <w:color w:val="auto"/>
                <w:spacing w:val="0"/>
                <w:w w:val="100"/>
                <w:position w:val="0"/>
                <w:sz w:val="21"/>
                <w:szCs w:val="21"/>
                <w:highlight w:val="none"/>
                <w:lang w:eastAsia="zh-CN"/>
              </w:rPr>
              <w:t>不进行改建</w:t>
            </w:r>
            <w:r>
              <w:rPr>
                <w:rFonts w:hint="eastAsia" w:cs="Times New Roman"/>
                <w:caps w:val="0"/>
                <w:smallCaps w:val="0"/>
                <w:color w:val="auto"/>
                <w:spacing w:val="0"/>
                <w:w w:val="100"/>
                <w:position w:val="0"/>
                <w:sz w:val="21"/>
                <w:szCs w:val="21"/>
                <w:highlight w:val="none"/>
                <w:lang w:eastAsia="zh-CN"/>
              </w:rPr>
              <w:t>。</w:t>
            </w:r>
          </w:p>
        </w:tc>
        <w:tc>
          <w:tcPr>
            <w:tcW w:w="16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应急事故池位于生产车间</w:t>
            </w:r>
            <w:r>
              <w:rPr>
                <w:rFonts w:hint="eastAsia" w:cs="Times New Roman"/>
                <w:caps w:val="0"/>
                <w:smallCaps w:val="0"/>
                <w:color w:val="auto"/>
                <w:spacing w:val="0"/>
                <w:w w:val="100"/>
                <w:position w:val="0"/>
                <w:sz w:val="21"/>
                <w:szCs w:val="21"/>
                <w:highlight w:val="none"/>
                <w:lang w:eastAsia="zh-CN"/>
              </w:rPr>
              <w:t>北</w:t>
            </w:r>
            <w:r>
              <w:rPr>
                <w:rFonts w:hint="eastAsia" w:ascii="Times New Roman" w:hAnsi="Times New Roman" w:eastAsia="宋体" w:cs="Times New Roman"/>
                <w:caps w:val="0"/>
                <w:smallCaps w:val="0"/>
                <w:color w:val="auto"/>
                <w:spacing w:val="0"/>
                <w:w w:val="100"/>
                <w:position w:val="0"/>
                <w:sz w:val="21"/>
                <w:szCs w:val="21"/>
                <w:highlight w:val="none"/>
                <w:lang w:eastAsia="zh-CN"/>
              </w:rPr>
              <w:t>侧，容积为</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2500m</w:t>
            </w:r>
            <w:r>
              <w:rPr>
                <w:rFonts w:hint="eastAsia" w:cs="Times New Roman"/>
                <w:caps w:val="0"/>
                <w:smallCaps w:val="0"/>
                <w:color w:val="auto"/>
                <w:spacing w:val="0"/>
                <w:w w:val="100"/>
                <w:position w:val="0"/>
                <w:sz w:val="21"/>
                <w:szCs w:val="21"/>
                <w:highlight w:val="none"/>
                <w:vertAlign w:val="superscript"/>
                <w:lang w:val="en-US" w:eastAsia="zh-CN"/>
              </w:rPr>
              <w:t>3</w:t>
            </w:r>
          </w:p>
        </w:tc>
        <w:tc>
          <w:tcPr>
            <w:tcW w:w="2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依托</w:t>
            </w:r>
          </w:p>
        </w:tc>
      </w:tr>
      <w:bookmarkEnd w:id="190"/>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91" w:name="_bookmark52"/>
      <w:bookmarkEnd w:id="191"/>
      <w:bookmarkStart w:id="192" w:name="_bookmark52"/>
      <w:bookmarkEnd w:id="192"/>
      <w:bookmarkStart w:id="193" w:name="_Toc1318"/>
      <w:r>
        <w:rPr>
          <w:rFonts w:hint="eastAsia" w:ascii="Times New Roman" w:hAnsi="Times New Roman" w:eastAsia="宋体" w:cs="Times New Roman"/>
          <w:bCs w:val="0"/>
          <w:color w:val="auto"/>
          <w:szCs w:val="20"/>
          <w:highlight w:val="none"/>
          <w:lang w:val="en-US" w:eastAsia="zh-CN" w:bidi="ar-SA"/>
        </w:rPr>
        <w:t>3.2.3</w:t>
      </w:r>
      <w:r>
        <w:rPr>
          <w:rFonts w:ascii="Times New Roman" w:hAnsi="Times New Roman" w:eastAsia="宋体" w:cs="Times New Roman"/>
          <w:bCs w:val="0"/>
          <w:color w:val="auto"/>
          <w:szCs w:val="20"/>
          <w:highlight w:val="none"/>
          <w:lang w:val="en-US" w:bidi="ar-SA"/>
        </w:rPr>
        <w:t>本项目产品方案和生产规模</w:t>
      </w:r>
      <w:bookmarkEnd w:id="193"/>
    </w:p>
    <w:p>
      <w:pPr>
        <w:bidi w:val="0"/>
        <w:spacing w:line="500" w:lineRule="exact"/>
        <w:ind w:firstLine="480" w:firstLineChars="200"/>
        <w:rPr>
          <w:rFonts w:hint="eastAsia" w:ascii="Times New Roman" w:hAnsi="Times New Roman" w:eastAsia="宋体" w:cs="Times New Roman"/>
          <w:color w:val="auto"/>
          <w:sz w:val="24"/>
          <w:highlight w:val="none"/>
          <w:lang w:eastAsia="zh-CN"/>
        </w:rPr>
      </w:pPr>
      <w:bookmarkStart w:id="194" w:name="_bookmark53"/>
      <w:bookmarkEnd w:id="194"/>
      <w:bookmarkStart w:id="195" w:name="_bookmark53"/>
      <w:bookmarkEnd w:id="195"/>
      <w:r>
        <w:rPr>
          <w:rFonts w:hint="eastAsia" w:ascii="Times New Roman" w:hAnsi="Times New Roman" w:eastAsia="宋体" w:cs="Times New Roman"/>
          <w:color w:val="auto"/>
          <w:sz w:val="24"/>
          <w:highlight w:val="none"/>
          <w:lang w:eastAsia="zh-CN"/>
        </w:rPr>
        <w:t>本项目以漂白针叶木浆和</w:t>
      </w:r>
      <w:r>
        <w:rPr>
          <w:rFonts w:hint="eastAsia" w:ascii="Times New Roman" w:cs="Times New Roman"/>
          <w:color w:val="auto"/>
          <w:sz w:val="24"/>
          <w:highlight w:val="none"/>
          <w:lang w:eastAsia="zh-CN"/>
        </w:rPr>
        <w:t>木浆成份纸板</w:t>
      </w:r>
      <w:r>
        <w:rPr>
          <w:rFonts w:hint="eastAsia" w:ascii="Times New Roman" w:hAnsi="Times New Roman" w:eastAsia="宋体" w:cs="Times New Roman"/>
          <w:color w:val="auto"/>
          <w:sz w:val="24"/>
          <w:highlight w:val="none"/>
          <w:lang w:eastAsia="zh-CN"/>
        </w:rPr>
        <w:t>为原料，年产薄页纸、特种纸、纸板共1万吨。本项目产品方案见表</w:t>
      </w:r>
      <w:r>
        <w:rPr>
          <w:rFonts w:hint="eastAsia" w:ascii="Times New Roman" w:hAnsi="Times New Roman" w:eastAsia="宋体" w:cs="Times New Roman"/>
          <w:color w:val="auto"/>
          <w:sz w:val="24"/>
          <w:highlight w:val="none"/>
          <w:lang w:val="en-US" w:eastAsia="zh-CN"/>
        </w:rPr>
        <w:t>3.2.3-1</w:t>
      </w:r>
      <w:r>
        <w:rPr>
          <w:rFonts w:hint="eastAsia" w:ascii="Times New Roman" w:hAnsi="Times New Roman" w:eastAsia="宋体" w:cs="Times New Roman"/>
          <w:color w:val="auto"/>
          <w:sz w:val="24"/>
          <w:highlight w:val="none"/>
          <w:lang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表</w:t>
      </w:r>
      <w:r>
        <w:rPr>
          <w:rFonts w:hint="eastAsia" w:ascii="Times New Roman" w:hAnsi="Times New Roman" w:eastAsia="宋体" w:cs="Times New Roman"/>
          <w:color w:val="auto"/>
          <w:sz w:val="24"/>
          <w:highlight w:val="none"/>
          <w:lang w:val="en-US" w:eastAsia="zh-CN"/>
        </w:rPr>
        <w:t>3.2.3-1</w:t>
      </w:r>
      <w:r>
        <w:rPr>
          <w:rFonts w:hint="eastAsia" w:ascii="Times New Roman" w:hAnsi="Times New Roman" w:eastAsia="宋体" w:cs="Times New Roman"/>
          <w:color w:val="auto"/>
          <w:sz w:val="24"/>
          <w:highlight w:val="none"/>
          <w:lang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eastAsia="zh-CN"/>
        </w:rPr>
        <w:t>本项目</w:t>
      </w:r>
      <w:r>
        <w:rPr>
          <w:rFonts w:hint="eastAsia" w:cs="Times New Roman"/>
          <w:color w:val="auto"/>
          <w:sz w:val="24"/>
          <w:highlight w:val="none"/>
          <w:lang w:eastAsia="zh-CN"/>
        </w:rPr>
        <w:t>技术改造后</w:t>
      </w:r>
      <w:r>
        <w:rPr>
          <w:rFonts w:hint="eastAsia" w:ascii="Times New Roman" w:hAnsi="Times New Roman" w:eastAsia="宋体" w:cs="Times New Roman"/>
          <w:color w:val="auto"/>
          <w:sz w:val="24"/>
          <w:highlight w:val="none"/>
          <w:lang w:eastAsia="zh-CN"/>
        </w:rPr>
        <w:t>产品方案表</w:t>
      </w:r>
    </w:p>
    <w:tbl>
      <w:tblPr>
        <w:tblStyle w:val="23"/>
        <w:tblW w:w="89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3836"/>
        <w:gridCol w:w="1915"/>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18"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序号</w:t>
            </w:r>
          </w:p>
        </w:tc>
        <w:tc>
          <w:tcPr>
            <w:tcW w:w="3836"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产品品种</w:t>
            </w:r>
          </w:p>
        </w:tc>
        <w:tc>
          <w:tcPr>
            <w:tcW w:w="191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单位</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18"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1</w:t>
            </w:r>
          </w:p>
        </w:tc>
        <w:tc>
          <w:tcPr>
            <w:tcW w:w="3836"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薄页纸、特种纸、纸板</w:t>
            </w:r>
          </w:p>
        </w:tc>
        <w:tc>
          <w:tcPr>
            <w:tcW w:w="191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吨</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4954"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合计</w:t>
            </w:r>
          </w:p>
        </w:tc>
        <w:tc>
          <w:tcPr>
            <w:tcW w:w="1915"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吨</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10000</w:t>
            </w: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96" w:name="_Toc10776"/>
      <w:r>
        <w:rPr>
          <w:rFonts w:hint="eastAsia" w:ascii="Times New Roman" w:hAnsi="Times New Roman" w:eastAsia="宋体" w:cs="Times New Roman"/>
          <w:bCs w:val="0"/>
          <w:color w:val="auto"/>
          <w:szCs w:val="20"/>
          <w:highlight w:val="none"/>
          <w:lang w:val="en-US" w:eastAsia="zh-CN" w:bidi="ar-SA"/>
        </w:rPr>
        <w:t>3.2.4</w:t>
      </w:r>
      <w:r>
        <w:rPr>
          <w:rFonts w:ascii="Times New Roman" w:hAnsi="Times New Roman" w:eastAsia="宋体" w:cs="Times New Roman"/>
          <w:bCs w:val="0"/>
          <w:color w:val="auto"/>
          <w:szCs w:val="20"/>
          <w:highlight w:val="none"/>
          <w:lang w:val="en-US" w:bidi="ar-SA"/>
        </w:rPr>
        <w:t>本项目物料能源消耗情况</w:t>
      </w:r>
      <w:bookmarkEnd w:id="196"/>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197" w:name="_bookmark54"/>
      <w:bookmarkEnd w:id="197"/>
      <w:bookmarkStart w:id="198" w:name="_bookmark54"/>
      <w:bookmarkEnd w:id="198"/>
      <w:r>
        <w:rPr>
          <w:rFonts w:hint="eastAsia" w:ascii="Times New Roman" w:hAnsi="Times New Roman" w:eastAsia="宋体" w:cs="Times New Roman"/>
          <w:color w:val="auto"/>
          <w:sz w:val="24"/>
          <w:highlight w:val="none"/>
          <w:lang w:val="en-US" w:eastAsia="zh-CN"/>
        </w:rPr>
        <w:t>项目改建后，原辅材料及能源变化情况见表3.2.4-1。</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表3.2.4-1             改建前后项目物料、能源变化一览表</w:t>
      </w:r>
    </w:p>
    <w:p>
      <w:pPr>
        <w:spacing w:line="38" w:lineRule="exact"/>
        <w:rPr>
          <w:rFonts w:ascii="Times New Roman" w:hAnsi="Times New Roman" w:eastAsia="宋体" w:cs="Times New Roman"/>
          <w:color w:val="auto"/>
          <w:spacing w:val="0"/>
          <w:w w:val="99"/>
          <w:position w:val="0"/>
          <w:highlight w:val="none"/>
        </w:rPr>
      </w:pPr>
    </w:p>
    <w:tbl>
      <w:tblPr>
        <w:tblStyle w:val="28"/>
        <w:tblW w:w="497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281"/>
        <w:gridCol w:w="3315"/>
        <w:gridCol w:w="1143"/>
        <w:gridCol w:w="1683"/>
        <w:gridCol w:w="1613"/>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序号</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原辅材料/能源名称</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单位</w:t>
            </w:r>
          </w:p>
        </w:tc>
        <w:tc>
          <w:tcPr>
            <w:tcW w:w="93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原有项目</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现有项目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w:t>
            </w:r>
          </w:p>
        </w:tc>
        <w:tc>
          <w:tcPr>
            <w:tcW w:w="18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漂白针叶木浆和</w:t>
            </w:r>
            <w:r>
              <w:rPr>
                <w:rFonts w:hint="eastAsia" w:ascii="Times New Roman" w:cs="Times New Roman"/>
                <w:color w:val="auto"/>
                <w:spacing w:val="0"/>
                <w:w w:val="100"/>
                <w:position w:val="0"/>
                <w:sz w:val="21"/>
                <w:szCs w:val="21"/>
                <w:highlight w:val="none"/>
                <w:lang w:eastAsia="zh-CN"/>
              </w:rPr>
              <w:t>木浆成份纸板</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10100</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10100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w:t>
            </w:r>
          </w:p>
        </w:tc>
        <w:tc>
          <w:tcPr>
            <w:tcW w:w="18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分散剂</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0.9</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w:t>
            </w:r>
          </w:p>
        </w:tc>
        <w:tc>
          <w:tcPr>
            <w:tcW w:w="18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剥离剂</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1.3</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1.3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4</w:t>
            </w:r>
          </w:p>
        </w:tc>
        <w:tc>
          <w:tcPr>
            <w:tcW w:w="18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包装箱</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800</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5</w:t>
            </w:r>
          </w:p>
        </w:tc>
        <w:tc>
          <w:tcPr>
            <w:tcW w:w="1834"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纸芯原纸</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445</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6</w:t>
            </w:r>
          </w:p>
        </w:tc>
        <w:tc>
          <w:tcPr>
            <w:tcW w:w="18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木粉</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t>0</w:t>
            </w:r>
          </w:p>
        </w:tc>
        <w:tc>
          <w:tcPr>
            <w:tcW w:w="8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7</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煤</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5000</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8</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成型生物质燃料</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931"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4165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9</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离子交换树脂</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2.5</w:t>
            </w:r>
          </w:p>
        </w:tc>
        <w:tc>
          <w:tcPr>
            <w:tcW w:w="89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10</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spacing w:val="-4"/>
                <w:sz w:val="21"/>
              </w:rPr>
              <w:t>聚合氯化铝</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6.0</w:t>
            </w:r>
          </w:p>
        </w:tc>
        <w:tc>
          <w:tcPr>
            <w:tcW w:w="89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6.0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11</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spacing w:val="-4"/>
                <w:sz w:val="21"/>
              </w:rPr>
              <w:t>聚丙烯酰胺</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2.0</w:t>
            </w:r>
          </w:p>
        </w:tc>
        <w:tc>
          <w:tcPr>
            <w:tcW w:w="89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12</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eastAsia="宋体"/>
                <w:spacing w:val="-4"/>
                <w:sz w:val="21"/>
                <w:lang w:val="en-US" w:eastAsia="zh-CN"/>
              </w:rPr>
            </w:pPr>
            <w:r>
              <w:rPr>
                <w:rFonts w:hint="eastAsia"/>
                <w:spacing w:val="-4"/>
                <w:sz w:val="21"/>
                <w:lang w:val="en-US" w:eastAsia="zh-CN"/>
              </w:rPr>
              <w:t>润滑油</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0.1</w:t>
            </w:r>
          </w:p>
        </w:tc>
        <w:tc>
          <w:tcPr>
            <w:tcW w:w="892"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bidi="ar-SA"/>
              </w:rPr>
              <w:t>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13</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水</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bidi="ar-SA"/>
              </w:rPr>
              <w:t>4.0x10</w:t>
            </w:r>
            <w:r>
              <w:rPr>
                <w:rFonts w:hint="eastAsia" w:ascii="Times New Roman" w:hAnsi="Times New Roman" w:eastAsia="宋体" w:cs="Times New Roman"/>
                <w:color w:val="auto"/>
                <w:spacing w:val="0"/>
                <w:w w:val="100"/>
                <w:position w:val="0"/>
                <w:sz w:val="21"/>
                <w:szCs w:val="21"/>
                <w:highlight w:val="none"/>
                <w:vertAlign w:val="superscript"/>
                <w:lang w:val="en-US" w:eastAsia="zh-CN" w:bidi="ar-SA"/>
              </w:rPr>
              <w:t>5</w:t>
            </w:r>
          </w:p>
        </w:tc>
        <w:tc>
          <w:tcPr>
            <w:tcW w:w="89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cs="Times New Roman"/>
                <w:caps w:val="0"/>
                <w:smallCaps w:val="0"/>
                <w:color w:val="auto"/>
                <w:spacing w:val="0"/>
                <w:w w:val="100"/>
                <w:position w:val="0"/>
                <w:sz w:val="21"/>
                <w:szCs w:val="21"/>
                <w:highlight w:val="none"/>
                <w:lang w:val="en-US" w:eastAsia="zh-CN" w:bidi="ar-SA"/>
              </w:rPr>
              <w:t>9622.8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0" w:hRule="atLeast"/>
          <w:jc w:val="center"/>
        </w:trPr>
        <w:tc>
          <w:tcPr>
            <w:tcW w:w="70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w:t>
            </w:r>
          </w:p>
        </w:tc>
        <w:tc>
          <w:tcPr>
            <w:tcW w:w="183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电</w:t>
            </w:r>
          </w:p>
        </w:tc>
        <w:tc>
          <w:tcPr>
            <w:tcW w:w="632"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万kwh/a</w:t>
            </w:r>
          </w:p>
        </w:tc>
        <w:tc>
          <w:tcPr>
            <w:tcW w:w="93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bidi="ar-SA"/>
              </w:rPr>
              <w:t>7</w:t>
            </w:r>
            <w:r>
              <w:rPr>
                <w:rFonts w:hint="eastAsia" w:cs="Times New Roman"/>
                <w:color w:val="auto"/>
                <w:spacing w:val="0"/>
                <w:w w:val="100"/>
                <w:position w:val="0"/>
                <w:sz w:val="21"/>
                <w:szCs w:val="21"/>
                <w:highlight w:val="none"/>
                <w:lang w:val="en-US" w:eastAsia="zh-CN" w:bidi="ar-SA"/>
              </w:rPr>
              <w:t>00</w:t>
            </w:r>
          </w:p>
        </w:tc>
        <w:tc>
          <w:tcPr>
            <w:tcW w:w="89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262</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199" w:name="_Toc13452"/>
      <w:bookmarkStart w:id="200" w:name="_Toc13878"/>
      <w:bookmarkStart w:id="201" w:name="_Toc13760"/>
      <w:bookmarkStart w:id="202" w:name="_Toc20294"/>
      <w:bookmarkStart w:id="203" w:name="_Toc2093"/>
      <w:r>
        <w:rPr>
          <w:rFonts w:hint="eastAsia" w:ascii="Times New Roman" w:hAnsi="Times New Roman" w:eastAsia="宋体" w:cs="Times New Roman"/>
          <w:color w:val="auto"/>
          <w:sz w:val="24"/>
          <w:highlight w:val="none"/>
          <w:lang w:val="en-US" w:eastAsia="zh-CN"/>
        </w:rPr>
        <w:t xml:space="preserve">表3.2.4-2                     </w:t>
      </w:r>
      <w:r>
        <w:rPr>
          <w:rFonts w:hint="eastAsia" w:cs="Times New Roman"/>
          <w:color w:val="auto"/>
          <w:sz w:val="24"/>
          <w:highlight w:val="none"/>
          <w:lang w:val="en-US" w:eastAsia="zh-CN"/>
        </w:rPr>
        <w:t>本</w:t>
      </w:r>
      <w:r>
        <w:rPr>
          <w:rFonts w:hint="eastAsia" w:ascii="Times New Roman" w:hAnsi="Times New Roman" w:eastAsia="宋体" w:cs="Times New Roman"/>
          <w:color w:val="auto"/>
          <w:sz w:val="24"/>
          <w:highlight w:val="none"/>
          <w:lang w:val="en-US" w:eastAsia="zh-CN"/>
        </w:rPr>
        <w:t>项目物料平衡表</w:t>
      </w:r>
    </w:p>
    <w:tbl>
      <w:tblPr>
        <w:tblStyle w:val="23"/>
        <w:tblW w:w="49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1"/>
        <w:gridCol w:w="1941"/>
        <w:gridCol w:w="1678"/>
        <w:gridCol w:w="1897"/>
        <w:gridCol w:w="17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原料</w:t>
            </w: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年用量（t/a）</w:t>
            </w: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产品及副</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产物</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年产量（t/a）</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default" w:ascii="宋体" w:eastAsia="宋体"/>
                <w:color w:val="auto"/>
                <w:sz w:val="21"/>
                <w:szCs w:val="21"/>
              </w:rPr>
              <w:t>漂白针叶木浆</w:t>
            </w:r>
            <w:r>
              <w:rPr>
                <w:rFonts w:hint="eastAsia"/>
                <w:color w:val="auto"/>
                <w:sz w:val="21"/>
                <w:szCs w:val="21"/>
                <w:lang w:val="en-US" w:eastAsia="zh-CN"/>
              </w:rPr>
              <w:t>及</w:t>
            </w:r>
            <w:r>
              <w:rPr>
                <w:rFonts w:hint="eastAsia" w:ascii="Times New Roman" w:cs="Times New Roman"/>
                <w:caps w:val="0"/>
                <w:smallCaps w:val="0"/>
                <w:color w:val="auto"/>
                <w:spacing w:val="0"/>
                <w:w w:val="100"/>
                <w:position w:val="0"/>
                <w:sz w:val="21"/>
                <w:szCs w:val="21"/>
                <w:highlight w:val="none"/>
                <w:lang w:val="en-US" w:eastAsia="zh-CN"/>
              </w:rPr>
              <w:t>木浆成份纸板</w:t>
            </w: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10100</w:t>
            </w: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薄页纸、特种纸、纸板</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10000</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木粉</w:t>
            </w: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1000</w:t>
            </w: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污泥</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765</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eastAsia" w:ascii="Times New Roman" w:cs="Times New Roman"/>
                <w:caps w:val="0"/>
                <w:smallCaps w:val="0"/>
                <w:color w:val="auto"/>
                <w:spacing w:val="0"/>
                <w:w w:val="10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新鲜水补</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水</w:t>
            </w: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9622.8</w:t>
            </w: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杂质固废</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335</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损失量</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9504</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生活污水</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118.8</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00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合计</w:t>
            </w:r>
          </w:p>
        </w:tc>
        <w:tc>
          <w:tcPr>
            <w:tcW w:w="1064"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20722.8</w:t>
            </w:r>
          </w:p>
        </w:tc>
        <w:tc>
          <w:tcPr>
            <w:tcW w:w="92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合计</w:t>
            </w:r>
          </w:p>
        </w:tc>
        <w:tc>
          <w:tcPr>
            <w:tcW w:w="104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20722.8</w:t>
            </w:r>
          </w:p>
        </w:tc>
        <w:tc>
          <w:tcPr>
            <w:tcW w:w="970" w:type="pct"/>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left="0" w:firstLine="0" w:firstLineChars="0"/>
              <w:jc w:val="center"/>
              <w:textAlignment w:val="auto"/>
              <w:rPr>
                <w:rFonts w:hint="eastAsia" w:cs="Times New Roman"/>
                <w:caps w:val="0"/>
                <w:smallCaps w:val="0"/>
                <w:color w:val="auto"/>
                <w:spacing w:val="0"/>
                <w:w w:val="100"/>
                <w:position w:val="0"/>
                <w:sz w:val="21"/>
                <w:szCs w:val="21"/>
                <w:highlight w:val="none"/>
                <w:lang w:val="en-US" w:eastAsia="zh-CN"/>
              </w:rPr>
            </w:pP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04" w:name="_Toc25168"/>
      <w:r>
        <w:rPr>
          <w:rFonts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2</w:t>
      </w:r>
      <w:r>
        <w:rPr>
          <w:rFonts w:ascii="Times New Roman" w:hAnsi="Times New Roman" w:eastAsia="宋体" w:cs="Times New Roman"/>
          <w:bCs w:val="0"/>
          <w:color w:val="auto"/>
          <w:szCs w:val="20"/>
          <w:highlight w:val="none"/>
          <w:lang w:val="en-US" w:bidi="ar-SA"/>
        </w:rPr>
        <w:t>.</w:t>
      </w:r>
      <w:r>
        <w:rPr>
          <w:rFonts w:hint="eastAsia" w:ascii="Times New Roman" w:hAnsi="Times New Roman" w:eastAsia="宋体" w:cs="Times New Roman"/>
          <w:bCs w:val="0"/>
          <w:color w:val="auto"/>
          <w:szCs w:val="20"/>
          <w:highlight w:val="none"/>
          <w:lang w:val="en-US" w:eastAsia="zh-CN" w:bidi="ar-SA"/>
        </w:rPr>
        <w:t>5</w:t>
      </w:r>
      <w:r>
        <w:rPr>
          <w:rFonts w:ascii="Times New Roman" w:hAnsi="Times New Roman" w:eastAsia="宋体" w:cs="Times New Roman"/>
          <w:bCs w:val="0"/>
          <w:color w:val="auto"/>
          <w:szCs w:val="20"/>
          <w:highlight w:val="none"/>
          <w:lang w:val="en-US" w:bidi="ar-SA"/>
        </w:rPr>
        <w:t>主要生产设备</w:t>
      </w:r>
      <w:bookmarkEnd w:id="199"/>
      <w:bookmarkEnd w:id="200"/>
      <w:bookmarkEnd w:id="201"/>
      <w:bookmarkEnd w:id="202"/>
      <w:bookmarkEnd w:id="203"/>
      <w:bookmarkEnd w:id="204"/>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 xml:space="preserve">表3.2.5-1                  </w:t>
      </w:r>
      <w:r>
        <w:rPr>
          <w:rFonts w:hint="eastAsia" w:ascii="Times New Roman" w:hAnsi="Times New Roman" w:cs="Times New Roman"/>
          <w:color w:val="auto"/>
          <w:sz w:val="24"/>
          <w:highlight w:val="none"/>
          <w:lang w:val="en-US" w:eastAsia="zh-CN"/>
        </w:rPr>
        <w:t>改建后</w:t>
      </w:r>
      <w:r>
        <w:rPr>
          <w:rFonts w:hint="eastAsia" w:ascii="Times New Roman" w:hAnsi="Times New Roman" w:eastAsia="宋体" w:cs="Times New Roman"/>
          <w:color w:val="auto"/>
          <w:sz w:val="24"/>
          <w:highlight w:val="none"/>
          <w:lang w:val="en-US" w:eastAsia="zh-CN"/>
        </w:rPr>
        <w:t>主要设备一览表</w:t>
      </w:r>
    </w:p>
    <w:tbl>
      <w:tblPr>
        <w:tblStyle w:val="23"/>
        <w:tblW w:w="8637" w:type="dxa"/>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545"/>
        <w:gridCol w:w="1944"/>
        <w:gridCol w:w="2679"/>
        <w:gridCol w:w="650"/>
        <w:gridCol w:w="701"/>
        <w:gridCol w:w="2118"/>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序号</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设备名称</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型号及规格</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单位</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数量</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6519" w:type="dxa"/>
            <w:gridSpan w:val="5"/>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right="-2184" w:rightChars="-910"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一、制浆主要设备</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40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15m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高浓度水利碎浆机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position w:val="0"/>
                <w:sz w:val="21"/>
                <w:highlight w:val="none"/>
              </w:rPr>
              <w:t>15m</w:t>
            </w:r>
            <w:r>
              <w:rPr>
                <w:rFonts w:ascii="Times New Roman" w:hAnsi="Times New Roman" w:eastAsia="宋体" w:cs="Times New Roman"/>
                <w:caps w:val="0"/>
                <w:smallCaps w:val="0"/>
                <w:color w:val="auto"/>
                <w:spacing w:val="0"/>
                <w:w w:val="100"/>
                <w:position w:val="0"/>
                <w:sz w:val="21"/>
                <w:highlight w:val="none"/>
                <w:vertAlign w:val="superscript"/>
              </w:rPr>
              <w:t>3</w:t>
            </w:r>
            <w:r>
              <w:rPr>
                <w:rFonts w:ascii="Times New Roman" w:hAnsi="Times New Roman" w:eastAsia="宋体" w:cs="Times New Roman"/>
                <w:caps w:val="0"/>
                <w:smallCaps w:val="0"/>
                <w:color w:val="auto"/>
                <w:spacing w:val="0"/>
                <w:w w:val="100"/>
                <w:position w:val="0"/>
                <w:sz w:val="21"/>
                <w:highlight w:val="none"/>
              </w:rPr>
              <w:t>ZSG</w:t>
            </w:r>
            <w:r>
              <w:rPr>
                <w:rFonts w:hint="eastAsia" w:ascii="Times New Roman" w:hAnsi="Times New Roman" w:eastAsia="宋体" w:cs="Times New Roman"/>
                <w:caps w:val="0"/>
                <w:smallCaps w:val="0"/>
                <w:color w:val="auto"/>
                <w:spacing w:val="0"/>
                <w:w w:val="100"/>
                <w:position w:val="0"/>
                <w:sz w:val="21"/>
                <w:highlight w:val="none"/>
              </w:rPr>
              <w:t>型</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2</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5m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高浓度水利碎浆机</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5m</w:t>
            </w:r>
            <w:r>
              <w:rPr>
                <w:rFonts w:ascii="Times New Roman" w:hAnsi="Times New Roman" w:eastAsia="宋体" w:cs="Times New Roman"/>
                <w:caps w:val="0"/>
                <w:smallCaps w:val="0"/>
                <w:color w:val="auto"/>
                <w:spacing w:val="0"/>
                <w:w w:val="100"/>
                <w:position w:val="0"/>
                <w:sz w:val="21"/>
                <w:highlight w:val="none"/>
                <w:vertAlign w:val="superscript"/>
              </w:rPr>
              <w:t>3</w:t>
            </w:r>
            <w:r>
              <w:rPr>
                <w:rFonts w:ascii="Times New Roman" w:hAnsi="Times New Roman" w:eastAsia="宋体" w:cs="Times New Roman"/>
                <w:caps w:val="0"/>
                <w:smallCaps w:val="0"/>
                <w:color w:val="auto"/>
                <w:spacing w:val="0"/>
                <w:w w:val="100"/>
                <w:position w:val="0"/>
                <w:sz w:val="21"/>
                <w:highlight w:val="none"/>
              </w:rPr>
              <w:t>ZSG</w:t>
            </w:r>
            <w:r>
              <w:rPr>
                <w:rFonts w:hint="eastAsia" w:ascii="Times New Roman" w:hAnsi="Times New Roman" w:eastAsia="宋体" w:cs="Times New Roman"/>
                <w:caps w:val="0"/>
                <w:smallCaps w:val="0"/>
                <w:color w:val="auto"/>
                <w:spacing w:val="0"/>
                <w:w w:val="100"/>
                <w:position w:val="0"/>
                <w:sz w:val="21"/>
                <w:highlight w:val="none"/>
              </w:rPr>
              <w:t>型</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3</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1.2m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压力筛</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1.2m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4</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0.6m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压力筛</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0.6m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5</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r>
              <w:rPr>
                <w:rFonts w:hint="eastAsia" w:cs="Times New Roman"/>
                <w:caps w:val="0"/>
                <w:smallCaps w:val="0"/>
                <w:color w:val="auto"/>
                <w:spacing w:val="0"/>
                <w:w w:val="100"/>
                <w:position w:val="0"/>
                <w:sz w:val="21"/>
                <w:highlight w:val="none"/>
                <w:lang w:val="en-US" w:eastAsia="zh-CN"/>
              </w:rPr>
              <w:t>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跳筛</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r>
              <w:rPr>
                <w:rFonts w:hint="eastAsia" w:cs="Times New Roman"/>
                <w:caps w:val="0"/>
                <w:smallCaps w:val="0"/>
                <w:color w:val="auto"/>
                <w:spacing w:val="0"/>
                <w:w w:val="100"/>
                <w:position w:val="0"/>
                <w:sz w:val="21"/>
                <w:highlight w:val="none"/>
                <w:lang w:val="en-US" w:eastAsia="zh-CN"/>
              </w:rPr>
              <w:t>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6</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r>
              <w:rPr>
                <w:rFonts w:hint="eastAsia" w:cs="Times New Roman"/>
                <w:caps w:val="0"/>
                <w:smallCaps w:val="0"/>
                <w:color w:val="auto"/>
                <w:spacing w:val="0"/>
                <w:w w:val="100"/>
                <w:position w:val="0"/>
                <w:sz w:val="21"/>
                <w:highlight w:val="none"/>
                <w:lang w:val="en-US" w:eastAsia="zh-CN"/>
              </w:rPr>
              <w:t>m</w:t>
            </w:r>
            <w:r>
              <w:rPr>
                <w:rFonts w:ascii="Times New Roman" w:hAnsi="Times New Roman" w:eastAsia="宋体" w:cs="Times New Roman"/>
                <w:caps w:val="0"/>
                <w:smallCaps w:val="0"/>
                <w:color w:val="auto"/>
                <w:spacing w:val="0"/>
                <w:w w:val="100"/>
                <w:position w:val="0"/>
                <w:sz w:val="21"/>
                <w:highlight w:val="none"/>
                <w:vertAlign w:val="superscript"/>
              </w:rPr>
              <w:t>3</w:t>
            </w:r>
            <w:r>
              <w:rPr>
                <w:rFonts w:hint="eastAsia" w:ascii="Times New Roman" w:hAnsi="Times New Roman" w:eastAsia="宋体" w:cs="Times New Roman"/>
                <w:caps w:val="0"/>
                <w:smallCaps w:val="0"/>
                <w:color w:val="auto"/>
                <w:spacing w:val="0"/>
                <w:w w:val="100"/>
                <w:position w:val="0"/>
                <w:sz w:val="21"/>
                <w:highlight w:val="none"/>
              </w:rPr>
              <w:t>跳筛</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r>
              <w:rPr>
                <w:rFonts w:hint="eastAsia" w:cs="Times New Roman"/>
                <w:caps w:val="0"/>
                <w:smallCaps w:val="0"/>
                <w:color w:val="auto"/>
                <w:spacing w:val="0"/>
                <w:w w:val="100"/>
                <w:position w:val="0"/>
                <w:sz w:val="21"/>
                <w:highlight w:val="none"/>
                <w:lang w:val="en-US" w:eastAsia="zh-CN"/>
              </w:rPr>
              <w:t>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7</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斜筛</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3*5m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2</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8</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浆泵</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14</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lang w:val="en-US" w:eastAsia="zh-CN"/>
              </w:rPr>
              <w:t>12</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木粉筛选机</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5m</w:t>
            </w:r>
            <w:r>
              <w:rPr>
                <w:rFonts w:ascii="Times New Roman" w:hAnsi="Times New Roman" w:eastAsia="宋体" w:cs="Times New Roman"/>
                <w:caps w:val="0"/>
                <w:smallCaps w:val="0"/>
                <w:color w:val="auto"/>
                <w:spacing w:val="0"/>
                <w:w w:val="100"/>
                <w:position w:val="0"/>
                <w:sz w:val="21"/>
                <w:highlight w:val="none"/>
                <w:vertAlign w:val="superscript"/>
              </w:rPr>
              <w:t>3</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lang w:val="en-US" w:eastAsia="zh-CN"/>
              </w:rPr>
              <w:t>13</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position w:val="0"/>
                <w:sz w:val="21"/>
                <w:highlight w:val="none"/>
              </w:rPr>
              <w:t>离心泵</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6</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14</w:t>
            </w:r>
          </w:p>
        </w:tc>
        <w:tc>
          <w:tcPr>
            <w:tcW w:w="19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450</w:t>
            </w:r>
            <w:r>
              <w:rPr>
                <w:rFonts w:hint="eastAsia" w:ascii="Times New Roman" w:hAnsi="Times New Roman" w:eastAsia="宋体" w:cs="Times New Roman"/>
                <w:caps w:val="0"/>
                <w:smallCaps w:val="0"/>
                <w:color w:val="auto"/>
                <w:spacing w:val="0"/>
                <w:w w:val="100"/>
                <w:position w:val="0"/>
                <w:sz w:val="21"/>
                <w:highlight w:val="none"/>
              </w:rPr>
              <w:t>双盘磨浆机</w:t>
            </w:r>
          </w:p>
        </w:tc>
        <w:tc>
          <w:tcPr>
            <w:tcW w:w="267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450ZDP</w:t>
            </w:r>
            <w:r>
              <w:rPr>
                <w:rFonts w:hint="eastAsia" w:ascii="Times New Roman" w:hAnsi="Times New Roman" w:eastAsia="宋体" w:cs="Times New Roman"/>
                <w:caps w:val="0"/>
                <w:smallCaps w:val="0"/>
                <w:color w:val="auto"/>
                <w:spacing w:val="0"/>
                <w:w w:val="100"/>
                <w:position w:val="0"/>
                <w:sz w:val="21"/>
                <w:highlight w:val="none"/>
              </w:rPr>
              <w:t>型</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bidi="ar-SA"/>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
                <w:position w:val="0"/>
                <w:sz w:val="21"/>
                <w:szCs w:val="24"/>
                <w:highlight w:val="none"/>
                <w:lang w:val="en-US" w:eastAsia="zh-CN" w:bidi="ar-SA"/>
              </w:rPr>
            </w:pPr>
            <w:r>
              <w:rPr>
                <w:rFonts w:ascii="Times New Roman" w:hAnsi="Times New Roman" w:eastAsia="宋体" w:cs="Times New Roman"/>
                <w:caps w:val="0"/>
                <w:smallCaps w:val="0"/>
                <w:color w:val="auto"/>
                <w:spacing w:val="0"/>
                <w:w w:val="100"/>
                <w:position w:val="0"/>
                <w:sz w:val="21"/>
                <w:highlight w:val="none"/>
              </w:rPr>
              <w:t>4</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6519" w:type="dxa"/>
            <w:gridSpan w:val="5"/>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right="-2184" w:rightChars="-910"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二、造纸主要设备</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3500型</w:t>
            </w:r>
            <w:r>
              <w:rPr>
                <w:rFonts w:ascii="Times New Roman" w:hAnsi="Times New Roman" w:eastAsia="宋体" w:cs="Times New Roman"/>
                <w:caps w:val="0"/>
                <w:smallCaps w:val="0"/>
                <w:color w:val="auto"/>
                <w:spacing w:val="0"/>
                <w:w w:val="100"/>
                <w:kern w:val="0"/>
                <w:position w:val="0"/>
                <w:sz w:val="21"/>
                <w:szCs w:val="21"/>
                <w:highlight w:val="none"/>
              </w:rPr>
              <w:t>纸机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幅宽3600mm，</w:t>
            </w: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抄做定量</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16-30g/m</w:t>
            </w:r>
            <w:r>
              <w:rPr>
                <w:rFonts w:hint="eastAsia" w:ascii="Times New Roman" w:hAnsi="Times New Roman" w:eastAsia="宋体" w:cs="Times New Roman"/>
                <w:caps w:val="0"/>
                <w:smallCaps w:val="0"/>
                <w:color w:val="auto"/>
                <w:spacing w:val="0"/>
                <w:w w:val="100"/>
                <w:kern w:val="0"/>
                <w:position w:val="0"/>
                <w:sz w:val="21"/>
                <w:szCs w:val="21"/>
                <w:highlight w:val="none"/>
                <w:vertAlign w:val="superscript"/>
                <w:lang w:val="en-US" w:eastAsia="zh-CN"/>
              </w:rPr>
              <w:t>3</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r>
              <w:rPr>
                <w:rFonts w:ascii="Times New Roman" w:hAnsi="Times New Roman" w:eastAsia="宋体" w:cs="Times New Roman"/>
                <w:caps w:val="0"/>
                <w:smallCaps w:val="0"/>
                <w:color w:val="auto"/>
                <w:spacing w:val="0"/>
                <w:w w:val="100"/>
                <w:kern w:val="0"/>
                <w:position w:val="0"/>
                <w:sz w:val="21"/>
                <w:szCs w:val="21"/>
                <w:highlight w:val="none"/>
              </w:rPr>
              <w:t>生产纸重38-70g，设计车速</w:t>
            </w: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200</w:t>
            </w:r>
            <w:r>
              <w:rPr>
                <w:rFonts w:ascii="Times New Roman" w:hAnsi="Times New Roman" w:eastAsia="宋体" w:cs="Times New Roman"/>
                <w:caps w:val="0"/>
                <w:smallCaps w:val="0"/>
                <w:color w:val="auto"/>
                <w:spacing w:val="0"/>
                <w:w w:val="100"/>
                <w:kern w:val="0"/>
                <w:position w:val="0"/>
                <w:sz w:val="21"/>
                <w:szCs w:val="21"/>
                <w:highlight w:val="none"/>
              </w:rPr>
              <w:t>m/min</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套</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2</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新增</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2</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切纸机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1760型甩刀切纸机</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3</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卷纸机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3600mm</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2</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6519" w:type="dxa"/>
            <w:gridSpan w:val="5"/>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right="-2184" w:rightChars="-910"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hint="eastAsia" w:cs="Times New Roman"/>
                <w:caps w:val="0"/>
                <w:smallCaps w:val="0"/>
                <w:color w:val="auto"/>
                <w:spacing w:val="0"/>
                <w:w w:val="100"/>
                <w:kern w:val="0"/>
                <w:position w:val="0"/>
                <w:sz w:val="21"/>
                <w:szCs w:val="21"/>
                <w:highlight w:val="none"/>
                <w:lang w:val="en-US" w:eastAsia="zh-CN"/>
              </w:rPr>
              <w:t>三、锅炉房</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生物质蒸汽</w:t>
            </w:r>
            <w:r>
              <w:rPr>
                <w:rFonts w:ascii="Times New Roman" w:hAnsi="Times New Roman" w:eastAsia="宋体" w:cs="Times New Roman"/>
                <w:caps w:val="0"/>
                <w:smallCaps w:val="0"/>
                <w:color w:val="auto"/>
                <w:spacing w:val="0"/>
                <w:w w:val="100"/>
                <w:kern w:val="0"/>
                <w:position w:val="0"/>
                <w:sz w:val="21"/>
                <w:szCs w:val="21"/>
                <w:highlight w:val="none"/>
              </w:rPr>
              <w:t>锅炉</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6t/h</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bidi="zh-CN"/>
              </w:rPr>
            </w:pPr>
            <w:r>
              <w:rPr>
                <w:rFonts w:hint="eastAsia" w:cs="Times New Roman"/>
                <w:caps w:val="0"/>
                <w:smallCaps w:val="0"/>
                <w:color w:val="auto"/>
                <w:spacing w:val="0"/>
                <w:w w:val="100"/>
                <w:kern w:val="0"/>
                <w:position w:val="0"/>
                <w:sz w:val="21"/>
                <w:szCs w:val="21"/>
                <w:highlight w:val="none"/>
                <w:lang w:val="en-US" w:eastAsia="zh-CN"/>
              </w:rPr>
              <w:t>新增</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2</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引风机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3</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鼓风机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t>1</w:t>
            </w:r>
          </w:p>
        </w:tc>
        <w:tc>
          <w:tcPr>
            <w:tcW w:w="2118"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8637" w:type="dxa"/>
            <w:gridSpan w:val="6"/>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cs="Times New Roman"/>
                <w:caps w:val="0"/>
                <w:smallCaps w:val="0"/>
                <w:color w:val="auto"/>
                <w:spacing w:val="0"/>
                <w:w w:val="100"/>
                <w:kern w:val="0"/>
                <w:position w:val="0"/>
                <w:sz w:val="21"/>
                <w:szCs w:val="21"/>
                <w:highlight w:val="none"/>
                <w:lang w:val="en-US" w:eastAsia="zh-CN"/>
              </w:rPr>
              <w:t>四</w:t>
            </w:r>
            <w:r>
              <w:rPr>
                <w:rFonts w:ascii="Times New Roman" w:hAnsi="Times New Roman" w:eastAsia="宋体" w:cs="Times New Roman"/>
                <w:caps w:val="0"/>
                <w:smallCaps w:val="0"/>
                <w:color w:val="auto"/>
                <w:spacing w:val="0"/>
                <w:w w:val="100"/>
                <w:kern w:val="0"/>
                <w:position w:val="0"/>
                <w:sz w:val="21"/>
                <w:szCs w:val="21"/>
                <w:highlight w:val="none"/>
              </w:rPr>
              <w:t>、</w:t>
            </w:r>
            <w:r>
              <w:rPr>
                <w:rFonts w:hint="eastAsia" w:cs="Times New Roman"/>
                <w:caps w:val="0"/>
                <w:smallCaps w:val="0"/>
                <w:color w:val="auto"/>
                <w:spacing w:val="0"/>
                <w:w w:val="100"/>
                <w:kern w:val="0"/>
                <w:position w:val="0"/>
                <w:sz w:val="21"/>
                <w:szCs w:val="21"/>
                <w:highlight w:val="none"/>
                <w:lang w:val="en-US" w:eastAsia="zh-CN"/>
              </w:rPr>
              <w:t>污水处理站</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风机</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7.5kw</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21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2</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提升泵</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5kw</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ascii="Times New Roman" w:hAnsi="Times New Roman" w:eastAsia="宋体" w:cs="Times New Roman"/>
                <w:caps w:val="0"/>
                <w:smallCaps w:val="0"/>
                <w:color w:val="auto"/>
                <w:spacing w:val="0"/>
                <w:w w:val="100"/>
                <w:kern w:val="0"/>
                <w:position w:val="0"/>
                <w:sz w:val="21"/>
                <w:szCs w:val="21"/>
                <w:highlight w:val="none"/>
              </w:rPr>
            </w:pPr>
            <w:r>
              <w:rPr>
                <w:rFonts w:ascii="Times New Roman" w:hAnsi="Times New Roman" w:eastAsia="宋体" w:cs="Times New Roman"/>
                <w:caps w:val="0"/>
                <w:smallCaps w:val="0"/>
                <w:color w:val="auto"/>
                <w:spacing w:val="0"/>
                <w:w w:val="100"/>
                <w:kern w:val="0"/>
                <w:position w:val="0"/>
                <w:sz w:val="21"/>
                <w:szCs w:val="21"/>
                <w:highlight w:val="none"/>
              </w:rPr>
              <w:t>台</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2</w:t>
            </w:r>
          </w:p>
        </w:tc>
        <w:tc>
          <w:tcPr>
            <w:tcW w:w="21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3</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PAC加药装置</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套</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21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97" w:hRule="atLeast"/>
          <w:jc w:val="center"/>
        </w:trPr>
        <w:tc>
          <w:tcPr>
            <w:tcW w:w="545"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4</w:t>
            </w:r>
          </w:p>
        </w:tc>
        <w:tc>
          <w:tcPr>
            <w:tcW w:w="1944"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PAM加药装置</w:t>
            </w:r>
          </w:p>
        </w:tc>
        <w:tc>
          <w:tcPr>
            <w:tcW w:w="2679"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w:t>
            </w:r>
          </w:p>
        </w:tc>
        <w:tc>
          <w:tcPr>
            <w:tcW w:w="650"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套</w:t>
            </w:r>
          </w:p>
        </w:tc>
        <w:tc>
          <w:tcPr>
            <w:tcW w:w="70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cs="Times New Roman"/>
                <w:caps w:val="0"/>
                <w:smallCaps w:val="0"/>
                <w:color w:val="auto"/>
                <w:spacing w:val="0"/>
                <w:w w:val="100"/>
                <w:kern w:val="0"/>
                <w:position w:val="0"/>
                <w:sz w:val="21"/>
                <w:szCs w:val="21"/>
                <w:highlight w:val="none"/>
                <w:lang w:val="en-US" w:eastAsia="zh-CN"/>
              </w:rPr>
            </w:pPr>
            <w:r>
              <w:rPr>
                <w:rFonts w:hint="eastAsia" w:cs="Times New Roman"/>
                <w:caps w:val="0"/>
                <w:smallCaps w:val="0"/>
                <w:color w:val="auto"/>
                <w:spacing w:val="0"/>
                <w:w w:val="100"/>
                <w:kern w:val="0"/>
                <w:position w:val="0"/>
                <w:sz w:val="21"/>
                <w:szCs w:val="21"/>
                <w:highlight w:val="none"/>
                <w:lang w:val="en-US" w:eastAsia="zh-CN"/>
              </w:rPr>
              <w:t>1</w:t>
            </w:r>
          </w:p>
        </w:tc>
        <w:tc>
          <w:tcPr>
            <w:tcW w:w="21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textAlignment w:val="auto"/>
              <w:rPr>
                <w:rFonts w:hint="eastAsia" w:ascii="Times New Roman" w:hAnsi="Times New Roman" w:eastAsia="宋体" w:cs="Times New Roman"/>
                <w:caps w:val="0"/>
                <w:smallCaps w:val="0"/>
                <w:color w:val="auto"/>
                <w:spacing w:val="0"/>
                <w:w w:val="100"/>
                <w:kern w:val="0"/>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0"/>
                <w:position w:val="0"/>
                <w:sz w:val="21"/>
                <w:szCs w:val="21"/>
                <w:highlight w:val="none"/>
                <w:lang w:eastAsia="zh-CN"/>
              </w:rPr>
              <w:t>利旧</w:t>
            </w:r>
          </w:p>
        </w:tc>
      </w:tr>
    </w:tbl>
    <w:p>
      <w:pPr>
        <w:rPr>
          <w:rFonts w:hint="eastAsia" w:ascii="Times New Roman" w:hAnsi="Times New Roman" w:eastAsia="宋体" w:cs="Times New Roman"/>
          <w:bCs w:val="0"/>
          <w:color w:val="auto"/>
          <w:szCs w:val="20"/>
          <w:highlight w:val="none"/>
          <w:lang w:val="en-US" w:eastAsia="zh-CN" w:bidi="ar-SA"/>
        </w:rPr>
      </w:pPr>
      <w:r>
        <w:rPr>
          <w:rFonts w:hint="eastAsia" w:ascii="Times New Roman" w:hAnsi="Times New Roman" w:eastAsia="宋体" w:cs="Times New Roman"/>
          <w:bCs w:val="0"/>
          <w:color w:val="auto"/>
          <w:szCs w:val="20"/>
          <w:highlight w:val="none"/>
          <w:lang w:val="en-US" w:eastAsia="zh-CN" w:bidi="ar-SA"/>
        </w:rPr>
        <w:br w:type="page"/>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05" w:name="_Toc13807"/>
      <w:r>
        <w:rPr>
          <w:rFonts w:hint="eastAsia" w:ascii="Times New Roman" w:hAnsi="Times New Roman" w:eastAsia="宋体" w:cs="Times New Roman"/>
          <w:bCs w:val="0"/>
          <w:color w:val="auto"/>
          <w:szCs w:val="20"/>
          <w:highlight w:val="none"/>
          <w:lang w:val="en-US" w:eastAsia="zh-CN" w:bidi="ar-SA"/>
        </w:rPr>
        <w:t>3.2.6</w:t>
      </w:r>
      <w:r>
        <w:rPr>
          <w:rFonts w:ascii="Times New Roman" w:hAnsi="Times New Roman" w:eastAsia="宋体" w:cs="Times New Roman"/>
          <w:bCs w:val="0"/>
          <w:color w:val="auto"/>
          <w:szCs w:val="20"/>
          <w:highlight w:val="none"/>
          <w:lang w:val="en-US" w:bidi="ar-SA"/>
        </w:rPr>
        <w:t>公用工程</w:t>
      </w:r>
      <w:bookmarkEnd w:id="205"/>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1、供水</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本项目用水主要为生产用水和生活用水。</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1）生产用水：</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ascii="Times New Roman" w:hAnsi="Times New Roman" w:eastAsia="宋体" w:cs="Times New Roman"/>
          <w:color w:val="auto"/>
          <w:sz w:val="24"/>
          <w:highlight w:val="none"/>
        </w:rPr>
        <w:t>主要为生产工艺用水和锅炉补水</w:t>
      </w:r>
      <w:r>
        <w:rPr>
          <w:rFonts w:hint="eastAsia" w:ascii="Times New Roman" w:hAnsi="Times New Roman" w:eastAsia="宋体" w:cs="Times New Roman"/>
          <w:color w:val="auto"/>
          <w:sz w:val="24"/>
          <w:highlight w:val="none"/>
          <w:lang w:eastAsia="zh-CN"/>
        </w:rPr>
        <w:t>。</w:t>
      </w:r>
    </w:p>
    <w:p>
      <w:pPr>
        <w:bidi w:val="0"/>
        <w:spacing w:line="500" w:lineRule="exact"/>
        <w:ind w:firstLine="480" w:firstLineChars="200"/>
        <w:rPr>
          <w:rFonts w:hint="default" w:cs="Times New Roman"/>
          <w:color w:val="auto"/>
          <w:sz w:val="24"/>
          <w:highlight w:val="none"/>
          <w:lang w:val="en-US" w:eastAsia="zh-CN"/>
        </w:rPr>
      </w:pPr>
      <w:r>
        <w:rPr>
          <w:rFonts w:hint="eastAsia" w:ascii="Times New Roman" w:hAnsi="Times New Roman" w:eastAsia="宋体" w:cs="Times New Roman"/>
          <w:color w:val="auto"/>
          <w:sz w:val="24"/>
          <w:highlight w:val="none"/>
          <w:lang w:eastAsia="zh-CN"/>
        </w:rPr>
        <w:t>生产用水引用</w:t>
      </w:r>
      <w:r>
        <w:rPr>
          <w:rFonts w:ascii="Times New Roman" w:hAnsi="Times New Roman" w:eastAsia="宋体" w:cs="Times New Roman"/>
          <w:color w:val="auto"/>
          <w:sz w:val="24"/>
          <w:highlight w:val="none"/>
        </w:rPr>
        <w:t xml:space="preserve">《黑龙江省地方标准 </w:t>
      </w:r>
      <w:r>
        <w:rPr>
          <w:rFonts w:hint="eastAsia" w:ascii="Times New Roman" w:hAnsi="Times New Roman" w:eastAsia="宋体" w:cs="Times New Roman"/>
          <w:color w:val="auto"/>
          <w:sz w:val="24"/>
          <w:highlight w:val="none"/>
          <w:lang w:val="en-US" w:eastAsia="zh-CN"/>
        </w:rPr>
        <w:t xml:space="preserve"> </w:t>
      </w:r>
      <w:r>
        <w:rPr>
          <w:rFonts w:ascii="Times New Roman" w:hAnsi="Times New Roman" w:eastAsia="宋体" w:cs="Times New Roman"/>
          <w:color w:val="auto"/>
          <w:sz w:val="24"/>
          <w:highlight w:val="none"/>
        </w:rPr>
        <w:t>用水定额》</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DB23/T727-</w:t>
      </w:r>
      <w:r>
        <w:rPr>
          <w:rFonts w:hint="eastAsia" w:ascii="Times New Roman" w:hAnsi="Times New Roman" w:eastAsia="宋体" w:cs="Times New Roman"/>
          <w:color w:val="auto"/>
          <w:sz w:val="24"/>
          <w:highlight w:val="none"/>
          <w:lang w:val="en-US" w:eastAsia="zh-CN"/>
        </w:rPr>
        <w:t>2021</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中</w:t>
      </w:r>
      <w:r>
        <w:rPr>
          <w:rFonts w:hint="eastAsia" w:ascii="Times New Roman" w:hAnsi="Times New Roman" w:eastAsia="宋体" w:cs="Times New Roman"/>
          <w:color w:val="auto"/>
          <w:sz w:val="24"/>
          <w:highlight w:val="none"/>
          <w:lang w:val="en-US" w:eastAsia="zh-CN"/>
        </w:rPr>
        <w:t>E.10造纸和纸制品业用水定额中生活用纸30m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/t，本项目年产1万吨</w:t>
      </w:r>
      <w:r>
        <w:rPr>
          <w:rFonts w:hint="eastAsia" w:ascii="Times New Roman" w:hAnsi="Times New Roman" w:eastAsia="宋体" w:cs="Times New Roman"/>
          <w:color w:val="auto"/>
          <w:sz w:val="24"/>
          <w:highlight w:val="none"/>
        </w:rPr>
        <w:t>薄页纸、特种用纸</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金融、建材、电气电力、微电子、国防、通讯、食品、医疗等所需要的功能性用纸）及纸板</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生产工艺用水量</w:t>
      </w:r>
      <w:r>
        <w:rPr>
          <w:rFonts w:hint="eastAsia" w:ascii="Times New Roman" w:hAnsi="Times New Roman" w:eastAsia="宋体" w:cs="Times New Roman"/>
          <w:color w:val="auto"/>
          <w:sz w:val="24"/>
          <w:highlight w:val="none"/>
          <w:lang w:val="en-US" w:eastAsia="zh-CN"/>
        </w:rPr>
        <w:t>909.09</w:t>
      </w:r>
      <w:r>
        <w:rPr>
          <w:rFonts w:ascii="Times New Roman" w:hAnsi="Times New Roman" w:eastAsia="宋体" w:cs="Times New Roman"/>
          <w:color w:val="auto"/>
          <w:sz w:val="24"/>
          <w:highlight w:val="none"/>
        </w:rPr>
        <w:t>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/d</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300000t/a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。生产工艺废水经污水处理站处理后循环利用。</w:t>
      </w:r>
      <w:r>
        <w:rPr>
          <w:rFonts w:hint="eastAsia" w:cs="Times New Roman"/>
          <w:color w:val="auto"/>
          <w:sz w:val="24"/>
          <w:highlight w:val="none"/>
          <w:lang w:val="en-US" w:eastAsia="zh-CN"/>
        </w:rPr>
        <w:t>根据水平衡图，</w:t>
      </w:r>
      <w:r>
        <w:rPr>
          <w:rFonts w:hint="eastAsia" w:ascii="Times New Roman" w:hAnsi="Times New Roman" w:eastAsia="宋体" w:cs="Times New Roman"/>
          <w:color w:val="auto"/>
          <w:sz w:val="24"/>
          <w:highlight w:val="none"/>
          <w:lang w:val="en-US" w:eastAsia="zh-CN"/>
        </w:rPr>
        <w:t>生产用</w:t>
      </w:r>
      <w:r>
        <w:rPr>
          <w:rFonts w:ascii="Times New Roman" w:hAnsi="Times New Roman" w:eastAsia="宋体" w:cs="Times New Roman"/>
          <w:color w:val="auto"/>
          <w:sz w:val="24"/>
          <w:highlight w:val="none"/>
        </w:rPr>
        <w:t>水重复利用率：</w:t>
      </w:r>
      <w:r>
        <w:rPr>
          <w:rFonts w:hint="eastAsia" w:ascii="Times New Roman" w:hAnsi="Times New Roman" w:eastAsia="宋体" w:cs="Times New Roman"/>
          <w:color w:val="auto"/>
          <w:sz w:val="24"/>
          <w:highlight w:val="none"/>
          <w:lang w:val="en-US" w:eastAsia="zh-CN"/>
        </w:rPr>
        <w:t>生产用</w:t>
      </w:r>
      <w:r>
        <w:rPr>
          <w:rFonts w:ascii="Times New Roman" w:hAnsi="Times New Roman" w:eastAsia="宋体" w:cs="Times New Roman"/>
          <w:color w:val="auto"/>
          <w:sz w:val="24"/>
          <w:highlight w:val="none"/>
        </w:rPr>
        <w:t>水水重复利用率=（</w:t>
      </w:r>
      <w:r>
        <w:rPr>
          <w:rFonts w:hint="eastAsia" w:ascii="Times New Roman" w:hAnsi="Times New Roman" w:eastAsia="宋体" w:cs="Times New Roman"/>
          <w:color w:val="auto"/>
          <w:sz w:val="24"/>
          <w:highlight w:val="none"/>
          <w:lang w:val="en-US" w:eastAsia="zh-CN"/>
        </w:rPr>
        <w:t>循环水量</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循环水量+生产补水量</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）×100%=（</w:t>
      </w:r>
      <w:r>
        <w:rPr>
          <w:rFonts w:hint="eastAsia" w:ascii="Times New Roman" w:hAnsi="Times New Roman" w:eastAsia="宋体" w:cs="Times New Roman"/>
          <w:color w:val="auto"/>
          <w:sz w:val="24"/>
          <w:highlight w:val="none"/>
          <w:lang w:val="en-US" w:eastAsia="zh-CN"/>
        </w:rPr>
        <w:t>881.82</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881.82+29.16-0.45</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）×100%=97%。</w:t>
      </w:r>
      <w:r>
        <w:rPr>
          <w:rFonts w:hint="eastAsia" w:cs="Times New Roman"/>
          <w:color w:val="auto"/>
          <w:sz w:val="24"/>
          <w:highlight w:val="none"/>
          <w:lang w:val="en-US" w:eastAsia="zh-CN"/>
        </w:rPr>
        <w:t>需要</w:t>
      </w:r>
      <w:r>
        <w:rPr>
          <w:rFonts w:hint="eastAsia" w:cs="Times New Roman"/>
          <w:color w:val="auto"/>
          <w:sz w:val="24"/>
          <w:highlight w:val="none"/>
          <w:lang w:eastAsia="zh-CN"/>
        </w:rPr>
        <w:t>补充用水量约为</w:t>
      </w:r>
      <w:r>
        <w:rPr>
          <w:rFonts w:hint="eastAsia" w:cs="Times New Roman"/>
          <w:color w:val="auto"/>
          <w:sz w:val="24"/>
          <w:highlight w:val="none"/>
          <w:lang w:val="en-US" w:eastAsia="zh-CN"/>
        </w:rPr>
        <w:t>27.27t/d（9000t/a），。</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ascii="Times New Roman" w:hAnsi="Times New Roman" w:eastAsia="宋体" w:cs="Times New Roman"/>
          <w:color w:val="auto"/>
          <w:sz w:val="24"/>
          <w:highlight w:val="none"/>
        </w:rPr>
        <w:t>锅炉补充水，包括补充的软水及排污水补充水。本项目锅炉软水制备采用全自动软水设备。</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eastAsia="zh-CN"/>
        </w:rPr>
        <w:t>根据《排放源统计调查产排污核算方法和系数手册》中“</w:t>
      </w:r>
      <w:r>
        <w:rPr>
          <w:rFonts w:hint="eastAsia" w:ascii="Times New Roman" w:hAnsi="Times New Roman" w:eastAsia="宋体" w:cs="Times New Roman"/>
          <w:color w:val="auto"/>
          <w:sz w:val="24"/>
          <w:highlight w:val="none"/>
          <w:lang w:val="en-US" w:eastAsia="zh-CN"/>
        </w:rPr>
        <w:t>4430工业锅炉（热力供应）行业系数手册</w:t>
      </w:r>
      <w:r>
        <w:rPr>
          <w:rFonts w:hint="eastAsia" w:ascii="Times New Roman" w:hAnsi="Times New Roman" w:eastAsia="宋体" w:cs="Times New Roman"/>
          <w:color w:val="auto"/>
          <w:sz w:val="24"/>
          <w:highlight w:val="none"/>
          <w:lang w:eastAsia="zh-CN"/>
        </w:rPr>
        <w:t>”中“430工业锅炉（热力生产和供应行业）产污系数表</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eastAsia="zh-CN"/>
        </w:rPr>
        <w:t>工业废水量和化学需氧量”生物质燃料锅外水处理产</w:t>
      </w:r>
      <w:r>
        <w:rPr>
          <w:rFonts w:hint="eastAsia" w:cs="Times New Roman"/>
          <w:color w:val="auto"/>
          <w:sz w:val="24"/>
          <w:highlight w:val="none"/>
          <w:lang w:eastAsia="zh-CN"/>
        </w:rPr>
        <w:t>污</w:t>
      </w:r>
      <w:r>
        <w:rPr>
          <w:rFonts w:hint="eastAsia" w:ascii="Times New Roman" w:hAnsi="Times New Roman" w:eastAsia="宋体" w:cs="Times New Roman"/>
          <w:color w:val="auto"/>
          <w:sz w:val="24"/>
          <w:highlight w:val="none"/>
          <w:lang w:eastAsia="zh-CN"/>
        </w:rPr>
        <w:t>系数为</w:t>
      </w:r>
      <w:r>
        <w:rPr>
          <w:rFonts w:hint="eastAsia" w:ascii="Times New Roman" w:hAnsi="Times New Roman" w:eastAsia="宋体" w:cs="Times New Roman"/>
          <w:color w:val="auto"/>
          <w:sz w:val="24"/>
          <w:highlight w:val="none"/>
          <w:lang w:val="en-US" w:eastAsia="zh-CN"/>
        </w:rPr>
        <w:t>0.356吨/吨-原料</w:t>
      </w:r>
      <w:r>
        <w:rPr>
          <w:rFonts w:hint="eastAsia" w:cs="Times New Roman"/>
          <w:color w:val="auto"/>
          <w:sz w:val="24"/>
          <w:highlight w:val="none"/>
          <w:lang w:val="en-US" w:eastAsia="zh-CN"/>
        </w:rPr>
        <w:t>废水，</w:t>
      </w:r>
      <w:r>
        <w:rPr>
          <w:rFonts w:hint="eastAsia" w:ascii="Times New Roman" w:hAnsi="Times New Roman" w:eastAsia="宋体" w:cs="Times New Roman"/>
          <w:color w:val="auto"/>
          <w:sz w:val="24"/>
          <w:highlight w:val="none"/>
          <w:lang w:val="en-US" w:eastAsia="zh-CN"/>
        </w:rPr>
        <w:t>本项目燃烧生物质颗粒</w:t>
      </w:r>
      <w:r>
        <w:rPr>
          <w:rFonts w:hint="eastAsia" w:cs="Times New Roman"/>
          <w:color w:val="auto"/>
          <w:sz w:val="24"/>
          <w:highlight w:val="none"/>
          <w:lang w:val="en-US" w:eastAsia="zh-CN"/>
        </w:rPr>
        <w:t>4165</w:t>
      </w:r>
      <w:r>
        <w:rPr>
          <w:rFonts w:hint="eastAsia" w:ascii="Times New Roman" w:hAnsi="Times New Roman" w:eastAsia="宋体" w:cs="Times New Roman"/>
          <w:color w:val="auto"/>
          <w:sz w:val="24"/>
          <w:highlight w:val="none"/>
          <w:lang w:val="en-US" w:eastAsia="zh-CN"/>
        </w:rPr>
        <w:t>t/a</w:t>
      </w:r>
      <w:r>
        <w:rPr>
          <w:rFonts w:hint="eastAsia" w:cs="Times New Roman"/>
          <w:color w:val="auto"/>
          <w:sz w:val="24"/>
          <w:highlight w:val="none"/>
          <w:lang w:val="en-US" w:eastAsia="zh-CN"/>
        </w:rPr>
        <w:t>，</w:t>
      </w:r>
      <w:r>
        <w:rPr>
          <w:rFonts w:ascii="Times New Roman" w:hAnsi="Times New Roman" w:eastAsia="宋体" w:cs="Times New Roman"/>
          <w:color w:val="auto"/>
          <w:sz w:val="24"/>
          <w:highlight w:val="none"/>
        </w:rPr>
        <w:t>锅炉</w:t>
      </w:r>
      <w:r>
        <w:rPr>
          <w:rFonts w:hint="eastAsia" w:ascii="Times New Roman" w:hAnsi="Times New Roman" w:eastAsia="宋体" w:cs="Times New Roman"/>
          <w:color w:val="auto"/>
          <w:sz w:val="24"/>
          <w:highlight w:val="none"/>
        </w:rPr>
        <w:t>软化水及</w:t>
      </w:r>
      <w:r>
        <w:rPr>
          <w:rFonts w:ascii="Times New Roman" w:hAnsi="Times New Roman" w:eastAsia="宋体" w:cs="Times New Roman"/>
          <w:color w:val="auto"/>
          <w:sz w:val="24"/>
          <w:highlight w:val="none"/>
        </w:rPr>
        <w:t>排</w:t>
      </w:r>
      <w:r>
        <w:rPr>
          <w:rFonts w:hint="eastAsia" w:ascii="Times New Roman" w:hAnsi="Times New Roman" w:eastAsia="宋体" w:cs="Times New Roman"/>
          <w:color w:val="auto"/>
          <w:sz w:val="24"/>
          <w:highlight w:val="none"/>
        </w:rPr>
        <w:t>污</w:t>
      </w:r>
      <w:r>
        <w:rPr>
          <w:rFonts w:hint="eastAsia" w:ascii="Times New Roman" w:hAnsi="Times New Roman" w:eastAsia="宋体" w:cs="Times New Roman"/>
          <w:color w:val="auto"/>
          <w:sz w:val="24"/>
          <w:highlight w:val="none"/>
          <w:lang w:eastAsia="zh-CN"/>
        </w:rPr>
        <w:t>水</w:t>
      </w:r>
      <w:r>
        <w:rPr>
          <w:rFonts w:hint="eastAsia" w:ascii="Times New Roman" w:hAnsi="Times New Roman" w:eastAsia="宋体" w:cs="Times New Roman"/>
          <w:color w:val="auto"/>
          <w:sz w:val="24"/>
          <w:highlight w:val="none"/>
        </w:rPr>
        <w:t>约为</w:t>
      </w:r>
      <w:r>
        <w:rPr>
          <w:rFonts w:hint="eastAsia" w:cs="Times New Roman"/>
          <w:color w:val="auto"/>
          <w:sz w:val="24"/>
          <w:highlight w:val="none"/>
          <w:lang w:val="en-US" w:eastAsia="zh-CN"/>
        </w:rPr>
        <w:t>4.5</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1482.74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锅炉蒸发损失（按</w:t>
      </w:r>
      <w:r>
        <w:rPr>
          <w:rFonts w:hint="eastAsia" w:cs="Times New Roman"/>
          <w:color w:val="auto"/>
          <w:sz w:val="24"/>
          <w:highlight w:val="none"/>
          <w:lang w:val="en-US" w:eastAsia="zh-CN"/>
        </w:rPr>
        <w:t>1%计算）</w:t>
      </w:r>
      <w:r>
        <w:rPr>
          <w:rFonts w:hint="eastAsia" w:cs="Times New Roman"/>
          <w:color w:val="auto"/>
          <w:sz w:val="24"/>
          <w:highlight w:val="none"/>
          <w:lang w:eastAsia="zh-CN"/>
        </w:rPr>
        <w:t>量</w:t>
      </w:r>
      <w:r>
        <w:rPr>
          <w:rFonts w:hint="eastAsia" w:cs="Times New Roman"/>
          <w:color w:val="auto"/>
          <w:sz w:val="24"/>
          <w:highlight w:val="none"/>
          <w:lang w:val="en-US" w:eastAsia="zh-CN"/>
        </w:rPr>
        <w:t>1.44</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475.2</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cs="Times New Roman"/>
          <w:color w:val="auto"/>
          <w:sz w:val="24"/>
          <w:highlight w:val="none"/>
          <w:lang w:eastAsia="zh-CN"/>
        </w:rPr>
        <w:t>则锅炉</w:t>
      </w:r>
      <w:r>
        <w:rPr>
          <w:rFonts w:hint="eastAsia" w:cs="Times New Roman"/>
          <w:color w:val="auto"/>
          <w:sz w:val="24"/>
          <w:highlight w:val="none"/>
          <w:lang w:val="en-US" w:eastAsia="zh-CN"/>
        </w:rPr>
        <w:t>补充新鲜用水量为5.94</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1957.94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锅炉排污水排入污水处理站，污水处理站处理后全部回用于生产工艺，生产工艺需要补充</w:t>
      </w:r>
      <w:r>
        <w:rPr>
          <w:rFonts w:hint="eastAsia" w:cs="Times New Roman"/>
          <w:color w:val="auto"/>
          <w:sz w:val="24"/>
          <w:highlight w:val="none"/>
          <w:lang w:eastAsia="zh-CN"/>
        </w:rPr>
        <w:t>新鲜水</w:t>
      </w:r>
      <w:r>
        <w:rPr>
          <w:rFonts w:hint="eastAsia" w:cs="Times New Roman"/>
          <w:color w:val="auto"/>
          <w:sz w:val="24"/>
          <w:highlight w:val="none"/>
          <w:lang w:val="en-US" w:eastAsia="zh-CN"/>
        </w:rPr>
        <w:t>量22.77t/d（7514.1t/a），</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ascii="Times New Roman" w:hAnsi="Times New Roman" w:eastAsia="宋体" w:cs="Times New Roman"/>
          <w:color w:val="auto"/>
          <w:sz w:val="24"/>
          <w:highlight w:val="none"/>
        </w:rPr>
      </w:pPr>
      <w:r>
        <w:rPr>
          <w:rFonts w:hint="eastAsia" w:cs="Times New Roman"/>
          <w:color w:val="auto"/>
          <w:sz w:val="24"/>
          <w:highlight w:val="none"/>
          <w:lang w:eastAsia="zh-CN"/>
        </w:rPr>
        <w:t>综上，本项目</w:t>
      </w:r>
      <w:r>
        <w:rPr>
          <w:rFonts w:hint="eastAsia" w:ascii="Times New Roman" w:hAnsi="Times New Roman" w:eastAsia="宋体" w:cs="Times New Roman"/>
          <w:color w:val="auto"/>
          <w:sz w:val="24"/>
          <w:highlight w:val="none"/>
          <w:lang w:eastAsia="zh-CN"/>
        </w:rPr>
        <w:t>生产用水、锅炉用水</w:t>
      </w:r>
      <w:r>
        <w:rPr>
          <w:rFonts w:hint="eastAsia" w:cs="Times New Roman"/>
          <w:color w:val="auto"/>
          <w:sz w:val="24"/>
          <w:highlight w:val="none"/>
          <w:lang w:eastAsia="zh-CN"/>
        </w:rPr>
        <w:t>总计</w:t>
      </w:r>
      <w:r>
        <w:rPr>
          <w:rFonts w:hint="eastAsia" w:cs="Times New Roman"/>
          <w:color w:val="auto"/>
          <w:sz w:val="24"/>
          <w:highlight w:val="none"/>
          <w:lang w:val="en-US" w:eastAsia="zh-CN"/>
        </w:rPr>
        <w:t>28.71t/d（9474.3t/a），</w:t>
      </w:r>
      <w:r>
        <w:rPr>
          <w:rFonts w:ascii="Times New Roman" w:hAnsi="Times New Roman" w:eastAsia="宋体" w:cs="Times New Roman"/>
          <w:color w:val="auto"/>
          <w:sz w:val="24"/>
          <w:highlight w:val="none"/>
        </w:rPr>
        <w:t>由</w:t>
      </w:r>
      <w:r>
        <w:rPr>
          <w:rFonts w:hint="eastAsia" w:ascii="Times New Roman" w:hAnsi="Times New Roman" w:eastAsia="宋体" w:cs="Times New Roman"/>
          <w:color w:val="auto"/>
          <w:sz w:val="24"/>
          <w:highlight w:val="none"/>
          <w:lang w:eastAsia="zh-CN"/>
        </w:rPr>
        <w:t>厂区内原有自打井</w:t>
      </w:r>
      <w:r>
        <w:rPr>
          <w:rFonts w:ascii="Times New Roman" w:hAnsi="Times New Roman" w:eastAsia="宋体" w:cs="Times New Roman"/>
          <w:color w:val="auto"/>
          <w:sz w:val="24"/>
          <w:highlight w:val="none"/>
        </w:rPr>
        <w:t>供水，</w:t>
      </w:r>
      <w:r>
        <w:rPr>
          <w:rFonts w:hint="eastAsia" w:ascii="Times New Roman" w:hAnsi="Times New Roman" w:eastAsia="宋体" w:cs="Times New Roman"/>
          <w:color w:val="auto"/>
          <w:sz w:val="24"/>
          <w:highlight w:val="none"/>
          <w:lang w:eastAsia="zh-CN"/>
        </w:rPr>
        <w:t>原有自打井出水量</w:t>
      </w:r>
      <w:r>
        <w:rPr>
          <w:rFonts w:hint="eastAsia" w:ascii="Times New Roman" w:hAnsi="Times New Roman" w:eastAsia="宋体" w:cs="Times New Roman"/>
          <w:color w:val="auto"/>
          <w:sz w:val="24"/>
          <w:highlight w:val="none"/>
          <w:lang w:val="en-US" w:eastAsia="zh-CN"/>
        </w:rPr>
        <w:t>150m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w:t>
      </w:r>
      <w:r>
        <w:rPr>
          <w:rFonts w:ascii="Times New Roman" w:hAnsi="Times New Roman" w:eastAsia="宋体" w:cs="Times New Roman"/>
          <w:color w:val="auto"/>
          <w:sz w:val="24"/>
          <w:highlight w:val="none"/>
        </w:rPr>
        <w:t>可以满足项目生产用水需求。</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2）生活用水：</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本项目共</w:t>
      </w:r>
      <w:r>
        <w:rPr>
          <w:rFonts w:hint="eastAsia" w:ascii="Times New Roman" w:cs="Times New Roman"/>
          <w:color w:val="auto"/>
          <w:sz w:val="24"/>
          <w:highlight w:val="none"/>
          <w:lang w:val="en-US" w:eastAsia="zh-CN"/>
        </w:rPr>
        <w:t>有</w:t>
      </w:r>
      <w:r>
        <w:rPr>
          <w:rFonts w:ascii="Times New Roman" w:hAnsi="Times New Roman" w:eastAsia="宋体" w:cs="Times New Roman"/>
          <w:color w:val="auto"/>
          <w:sz w:val="24"/>
          <w:highlight w:val="none"/>
        </w:rPr>
        <w:t>员工</w:t>
      </w:r>
      <w:r>
        <w:rPr>
          <w:rFonts w:hint="eastAsia" w:ascii="Times New Roman" w:hAnsi="Times New Roman" w:eastAsia="宋体" w:cs="Times New Roman"/>
          <w:color w:val="auto"/>
          <w:sz w:val="24"/>
          <w:highlight w:val="none"/>
          <w:lang w:val="en-US" w:eastAsia="zh-CN"/>
        </w:rPr>
        <w:t>15</w:t>
      </w:r>
      <w:r>
        <w:rPr>
          <w:rFonts w:ascii="Times New Roman" w:hAnsi="Times New Roman" w:eastAsia="宋体" w:cs="Times New Roman"/>
          <w:color w:val="auto"/>
          <w:sz w:val="24"/>
          <w:highlight w:val="none"/>
        </w:rPr>
        <w:t>人，</w:t>
      </w:r>
      <w:r>
        <w:rPr>
          <w:rFonts w:hint="eastAsia" w:cs="Times New Roman"/>
          <w:color w:val="auto"/>
          <w:sz w:val="24"/>
          <w:highlight w:val="none"/>
          <w:lang w:eastAsia="zh-CN"/>
        </w:rPr>
        <w:t>厂区不设</w:t>
      </w:r>
      <w:r>
        <w:rPr>
          <w:rFonts w:hint="eastAsia" w:cs="Times New Roman"/>
          <w:color w:val="auto"/>
          <w:sz w:val="24"/>
          <w:highlight w:val="none"/>
          <w:lang w:val="en-US" w:eastAsia="zh-CN"/>
        </w:rPr>
        <w:t>食堂、宿舍，办公楼内无上下水，职工办公饮等均为桶装水，参照</w:t>
      </w:r>
      <w:r>
        <w:rPr>
          <w:rFonts w:ascii="Times New Roman" w:hAnsi="Times New Roman" w:eastAsia="宋体" w:cs="Times New Roman"/>
          <w:color w:val="auto"/>
          <w:sz w:val="24"/>
          <w:highlight w:val="none"/>
        </w:rPr>
        <w:t>《黑龙江省地方标准 用水定额》</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DB23/T727-</w:t>
      </w:r>
      <w:r>
        <w:rPr>
          <w:rFonts w:hint="eastAsia" w:ascii="Times New Roman" w:hAnsi="Times New Roman" w:eastAsia="宋体" w:cs="Times New Roman"/>
          <w:color w:val="auto"/>
          <w:sz w:val="24"/>
          <w:highlight w:val="none"/>
          <w:lang w:val="en-US" w:eastAsia="zh-CN"/>
        </w:rPr>
        <w:t>2021</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中表 G.9 公共管理、社会保障和社会组织用水定额</w:t>
      </w:r>
      <w:r>
        <w:rPr>
          <w:rFonts w:hint="eastAsia" w:cs="Times New Roman"/>
          <w:color w:val="auto"/>
          <w:sz w:val="24"/>
          <w:highlight w:val="none"/>
          <w:lang w:val="en-US" w:eastAsia="zh-CN"/>
        </w:rPr>
        <w:t>-</w:t>
      </w:r>
      <w:r>
        <w:rPr>
          <w:rFonts w:hint="eastAsia" w:cs="Times New Roman"/>
          <w:color w:val="auto"/>
          <w:sz w:val="24"/>
          <w:highlight w:val="none"/>
          <w:lang w:eastAsia="zh-CN"/>
        </w:rPr>
        <w:t>国家行政机关先进值</w:t>
      </w:r>
      <w:r>
        <w:rPr>
          <w:rFonts w:hint="eastAsia" w:cs="Times New Roman"/>
          <w:color w:val="auto"/>
          <w:sz w:val="24"/>
          <w:highlight w:val="none"/>
          <w:lang w:val="en-US" w:eastAsia="zh-CN"/>
        </w:rPr>
        <w:t>10</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人.a标准</w:t>
      </w:r>
      <w:r>
        <w:rPr>
          <w:rFonts w:ascii="Times New Roman" w:hAnsi="Times New Roman" w:eastAsia="宋体" w:cs="Times New Roman"/>
          <w:color w:val="auto"/>
          <w:sz w:val="24"/>
          <w:highlight w:val="none"/>
        </w:rPr>
        <w:t>计算，</w:t>
      </w:r>
      <w:r>
        <w:rPr>
          <w:rFonts w:hint="eastAsia" w:cs="Times New Roman"/>
          <w:color w:val="auto"/>
          <w:sz w:val="24"/>
          <w:highlight w:val="none"/>
          <w:lang w:eastAsia="zh-CN"/>
        </w:rPr>
        <w:t>本项目生活</w:t>
      </w:r>
      <w:r>
        <w:rPr>
          <w:rFonts w:ascii="Times New Roman" w:hAnsi="Times New Roman" w:eastAsia="宋体" w:cs="Times New Roman"/>
          <w:color w:val="auto"/>
          <w:sz w:val="24"/>
          <w:highlight w:val="none"/>
        </w:rPr>
        <w:t>用水量为</w:t>
      </w:r>
      <w:r>
        <w:rPr>
          <w:rFonts w:hint="eastAsia" w:cs="Times New Roman"/>
          <w:color w:val="auto"/>
          <w:sz w:val="24"/>
          <w:highlight w:val="none"/>
          <w:lang w:val="en-US" w:eastAsia="zh-CN"/>
        </w:rPr>
        <w:t>0.45</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150</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综上所述，本项目</w:t>
      </w:r>
      <w:r>
        <w:rPr>
          <w:rFonts w:hint="eastAsia" w:cs="Times New Roman"/>
          <w:color w:val="auto"/>
          <w:sz w:val="24"/>
          <w:highlight w:val="none"/>
          <w:lang w:eastAsia="zh-CN"/>
        </w:rPr>
        <w:t>生产</w:t>
      </w:r>
      <w:r>
        <w:rPr>
          <w:rFonts w:hint="eastAsia" w:cs="Times New Roman"/>
          <w:color w:val="auto"/>
          <w:sz w:val="24"/>
          <w:highlight w:val="none"/>
          <w:lang w:val="en-US" w:eastAsia="zh-CN"/>
        </w:rPr>
        <w:t>补充</w:t>
      </w:r>
      <w:r>
        <w:rPr>
          <w:rFonts w:hint="eastAsia" w:cs="Times New Roman"/>
          <w:color w:val="auto"/>
          <w:sz w:val="24"/>
          <w:highlight w:val="none"/>
          <w:lang w:eastAsia="zh-CN"/>
        </w:rPr>
        <w:t>新鲜水</w:t>
      </w:r>
      <w:r>
        <w:rPr>
          <w:rFonts w:hint="eastAsia" w:cs="Times New Roman"/>
          <w:color w:val="auto"/>
          <w:sz w:val="24"/>
          <w:highlight w:val="none"/>
          <w:lang w:val="en-US" w:eastAsia="zh-CN"/>
        </w:rPr>
        <w:t>量22.77t/d（7514.1t/a），</w:t>
      </w:r>
      <w:r>
        <w:rPr>
          <w:rFonts w:hint="eastAsia" w:ascii="Times New Roman" w:hAnsi="Times New Roman" w:eastAsia="宋体" w:cs="Times New Roman"/>
          <w:color w:val="auto"/>
          <w:sz w:val="24"/>
          <w:highlight w:val="none"/>
          <w:lang w:eastAsia="zh-CN"/>
        </w:rPr>
        <w:t>锅炉用水</w:t>
      </w:r>
      <w:r>
        <w:rPr>
          <w:rFonts w:ascii="Times New Roman" w:hAnsi="Times New Roman" w:eastAsia="宋体" w:cs="Times New Roman"/>
          <w:color w:val="auto"/>
          <w:sz w:val="24"/>
          <w:highlight w:val="none"/>
        </w:rPr>
        <w:t>量</w:t>
      </w:r>
      <w:r>
        <w:rPr>
          <w:rFonts w:hint="eastAsia" w:ascii="Times New Roman" w:hAnsi="Times New Roman" w:eastAsia="宋体" w:cs="Times New Roman"/>
          <w:color w:val="auto"/>
          <w:sz w:val="24"/>
          <w:highlight w:val="none"/>
          <w:lang w:eastAsia="zh-CN"/>
        </w:rPr>
        <w:t>约为</w:t>
      </w:r>
      <w:r>
        <w:rPr>
          <w:rFonts w:hint="eastAsia" w:cs="Times New Roman"/>
          <w:color w:val="auto"/>
          <w:sz w:val="24"/>
          <w:highlight w:val="none"/>
          <w:lang w:val="en-US" w:eastAsia="zh-CN"/>
        </w:rPr>
        <w:t>5.94</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1957.94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w:t>
      </w:r>
      <w:r>
        <w:rPr>
          <w:rFonts w:hint="eastAsia" w:cs="Times New Roman"/>
          <w:color w:val="auto"/>
          <w:sz w:val="24"/>
          <w:highlight w:val="none"/>
          <w:lang w:val="en-US" w:eastAsia="zh-CN"/>
        </w:rPr>
        <w:t>共28.71</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9474.3</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由</w:t>
      </w:r>
      <w:r>
        <w:rPr>
          <w:rFonts w:hint="eastAsia" w:ascii="Times New Roman" w:hAnsi="Times New Roman" w:eastAsia="宋体" w:cs="Times New Roman"/>
          <w:color w:val="auto"/>
          <w:sz w:val="24"/>
          <w:highlight w:val="none"/>
          <w:lang w:eastAsia="zh-CN"/>
        </w:rPr>
        <w:t>厂区内原有自打井</w:t>
      </w:r>
      <w:r>
        <w:rPr>
          <w:rFonts w:ascii="Times New Roman" w:hAnsi="Times New Roman" w:eastAsia="宋体" w:cs="Times New Roman"/>
          <w:color w:val="auto"/>
          <w:sz w:val="24"/>
          <w:highlight w:val="none"/>
        </w:rPr>
        <w:t>供水</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lang w:eastAsia="zh-CN"/>
        </w:rPr>
        <w:t>生活用水量约为</w:t>
      </w:r>
      <w:r>
        <w:rPr>
          <w:rFonts w:hint="eastAsia" w:cs="Times New Roman"/>
          <w:color w:val="auto"/>
          <w:sz w:val="24"/>
          <w:highlight w:val="none"/>
          <w:lang w:val="en-US" w:eastAsia="zh-CN"/>
        </w:rPr>
        <w:t>0.45</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150</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），由桶装水供给</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可以满足</w:t>
      </w:r>
      <w:r>
        <w:rPr>
          <w:rFonts w:hint="eastAsia" w:ascii="Times New Roman" w:hAnsi="Times New Roman" w:eastAsia="宋体" w:cs="Times New Roman"/>
          <w:color w:val="auto"/>
          <w:sz w:val="24"/>
          <w:highlight w:val="none"/>
          <w:lang w:eastAsia="zh-CN"/>
        </w:rPr>
        <w:t>本</w:t>
      </w:r>
      <w:r>
        <w:rPr>
          <w:rFonts w:ascii="Times New Roman" w:hAnsi="Times New Roman" w:eastAsia="宋体" w:cs="Times New Roman"/>
          <w:color w:val="auto"/>
          <w:sz w:val="24"/>
          <w:highlight w:val="none"/>
        </w:rPr>
        <w:t>项目用水需求。</w:t>
      </w:r>
      <w:r>
        <w:rPr>
          <w:rFonts w:hint="eastAsia" w:cs="Times New Roman"/>
          <w:color w:val="auto"/>
          <w:sz w:val="24"/>
          <w:highlight w:val="none"/>
          <w:lang w:eastAsia="zh-CN"/>
        </w:rPr>
        <w:t>项目新鲜水总用水量为</w:t>
      </w:r>
      <w:r>
        <w:rPr>
          <w:rFonts w:hint="eastAsia" w:cs="Times New Roman"/>
          <w:color w:val="auto"/>
          <w:sz w:val="24"/>
          <w:highlight w:val="none"/>
          <w:lang w:val="en-US" w:eastAsia="zh-CN"/>
        </w:rPr>
        <w:t>29.16t/d（9622.8t/a）。</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2、排水</w:t>
      </w:r>
    </w:p>
    <w:p>
      <w:pPr>
        <w:bidi w:val="0"/>
        <w:spacing w:line="500" w:lineRule="exact"/>
        <w:ind w:firstLine="480" w:firstLineChars="200"/>
        <w:rPr>
          <w:rFonts w:hint="eastAsia" w:cs="Times New Roman"/>
          <w:color w:val="auto"/>
          <w:sz w:val="24"/>
          <w:highlight w:val="none"/>
          <w:lang w:eastAsia="zh-CN"/>
        </w:rPr>
      </w:pPr>
      <w:r>
        <w:rPr>
          <w:rFonts w:ascii="Times New Roman" w:hAnsi="Times New Roman" w:eastAsia="宋体" w:cs="Times New Roman"/>
          <w:color w:val="auto"/>
          <w:sz w:val="24"/>
          <w:highlight w:val="none"/>
        </w:rPr>
        <w:t>生产废水、锅炉排</w:t>
      </w:r>
      <w:r>
        <w:rPr>
          <w:rFonts w:hint="eastAsia" w:ascii="Times New Roman" w:hAnsi="Times New Roman" w:eastAsia="宋体" w:cs="Times New Roman"/>
          <w:color w:val="auto"/>
          <w:sz w:val="24"/>
          <w:highlight w:val="none"/>
        </w:rPr>
        <w:t>污</w:t>
      </w:r>
      <w:r>
        <w:rPr>
          <w:rFonts w:ascii="Times New Roman" w:hAnsi="Times New Roman" w:eastAsia="宋体" w:cs="Times New Roman"/>
          <w:color w:val="auto"/>
          <w:sz w:val="24"/>
          <w:highlight w:val="none"/>
        </w:rPr>
        <w:t>水均经污水处理站处理后全部循</w:t>
      </w:r>
      <w:r>
        <w:rPr>
          <w:rFonts w:hint="eastAsia" w:ascii="Times New Roman" w:hAnsi="Times New Roman" w:eastAsia="宋体" w:cs="Times New Roman"/>
          <w:color w:val="auto"/>
          <w:sz w:val="24"/>
          <w:highlight w:val="none"/>
          <w:lang w:eastAsia="zh-CN"/>
        </w:rPr>
        <w:t>回用于生产</w:t>
      </w:r>
      <w:r>
        <w:rPr>
          <w:rFonts w:hint="eastAsia" w:cs="Times New Roman"/>
          <w:color w:val="auto"/>
          <w:sz w:val="24"/>
          <w:highlight w:val="none"/>
          <w:lang w:eastAsia="zh-CN"/>
        </w:rPr>
        <w:t>不外排；</w:t>
      </w:r>
      <w:r>
        <w:rPr>
          <w:rFonts w:ascii="Times New Roman" w:hAnsi="Times New Roman" w:eastAsia="宋体" w:cs="Times New Roman"/>
          <w:color w:val="auto"/>
          <w:sz w:val="24"/>
          <w:highlight w:val="none"/>
        </w:rPr>
        <w:t>生活污水</w:t>
      </w:r>
      <w:r>
        <w:rPr>
          <w:rFonts w:hint="eastAsia" w:cs="Times New Roman"/>
          <w:color w:val="auto"/>
          <w:sz w:val="24"/>
          <w:highlight w:val="none"/>
          <w:lang w:eastAsia="zh-CN"/>
        </w:rPr>
        <w:t>产生量（按用水量的</w:t>
      </w:r>
      <w:r>
        <w:rPr>
          <w:rFonts w:hint="eastAsia" w:cs="Times New Roman"/>
          <w:color w:val="auto"/>
          <w:sz w:val="24"/>
          <w:highlight w:val="none"/>
          <w:lang w:val="en-US" w:eastAsia="zh-CN"/>
        </w:rPr>
        <w:t>80%计算）0.36</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118.8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工艺详细水平衡图见图</w:t>
      </w:r>
      <w:r>
        <w:rPr>
          <w:rFonts w:hint="eastAsia" w:ascii="Times New Roman" w:hAnsi="Times New Roman" w:eastAsia="宋体" w:cs="Times New Roman"/>
          <w:color w:val="auto"/>
          <w:sz w:val="24"/>
          <w:highlight w:val="none"/>
          <w:lang w:val="en-US" w:eastAsia="zh-CN"/>
        </w:rPr>
        <w:t>3.2.6.1-1</w:t>
      </w:r>
      <w:r>
        <w:rPr>
          <w:rFonts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aps w:val="0"/>
          <w:smallCaps w:val="0"/>
          <w:color w:val="auto"/>
          <w:spacing w:val="0"/>
          <w:w w:val="99"/>
          <w:position w:val="0"/>
          <w:sz w:val="24"/>
          <w:highlight w:val="none"/>
          <w:lang w:eastAsia="zh-CN"/>
        </w:rPr>
      </w:pPr>
      <w:r>
        <w:rPr>
          <w:color w:val="auto"/>
          <w:highlight w:val="none"/>
        </w:rPr>
        <w:drawing>
          <wp:inline distT="0" distB="0" distL="114300" distR="114300">
            <wp:extent cx="5268595" cy="2388235"/>
            <wp:effectExtent l="0" t="0" r="8255" b="1206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4"/>
                    <a:stretch>
                      <a:fillRect/>
                    </a:stretch>
                  </pic:blipFill>
                  <pic:spPr>
                    <a:xfrm>
                      <a:off x="0" y="0"/>
                      <a:ext cx="5268595" cy="2388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500" w:lineRule="exact"/>
        <w:ind w:firstLine="0" w:firstLineChars="0"/>
        <w:jc w:val="center"/>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图</w:t>
      </w:r>
      <w:r>
        <w:rPr>
          <w:rFonts w:hint="eastAsia" w:ascii="Times New Roman" w:hAnsi="Times New Roman" w:eastAsia="宋体" w:cs="Times New Roman"/>
          <w:color w:val="auto"/>
          <w:sz w:val="24"/>
          <w:highlight w:val="none"/>
          <w:lang w:val="en-US" w:eastAsia="zh-CN"/>
        </w:rPr>
        <w:t>3.2.6.1-1</w:t>
      </w:r>
      <w:r>
        <w:rPr>
          <w:rFonts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ascii="Times New Roman" w:hAnsi="Times New Roman" w:eastAsia="宋体" w:cs="Times New Roman"/>
          <w:color w:val="auto"/>
          <w:sz w:val="24"/>
          <w:highlight w:val="none"/>
        </w:rPr>
        <w:t>生产过程水平衡图</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t/d）</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3、供电</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本项目用电由附近电网引入，能够满足项目用电需求。</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4、供热</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年产1</w:t>
      </w:r>
      <w:r>
        <w:rPr>
          <w:rFonts w:hint="eastAsia" w:ascii="Times New Roman" w:hAnsi="Times New Roman" w:eastAsia="宋体" w:cs="Times New Roman"/>
          <w:color w:val="auto"/>
          <w:sz w:val="24"/>
          <w:highlight w:val="none"/>
          <w:lang w:eastAsia="zh-CN"/>
        </w:rPr>
        <w:t>万</w:t>
      </w:r>
      <w:r>
        <w:rPr>
          <w:rFonts w:ascii="Times New Roman" w:hAnsi="Times New Roman" w:eastAsia="宋体" w:cs="Times New Roman"/>
          <w:color w:val="auto"/>
          <w:sz w:val="24"/>
          <w:highlight w:val="none"/>
        </w:rPr>
        <w:t>吨</w:t>
      </w:r>
      <w:r>
        <w:rPr>
          <w:rFonts w:hint="eastAsia" w:ascii="Times New Roman" w:hAnsi="Times New Roman" w:eastAsia="宋体" w:cs="Times New Roman"/>
          <w:color w:val="auto"/>
          <w:sz w:val="24"/>
          <w:highlight w:val="none"/>
          <w:lang w:val="en-US" w:eastAsia="zh-CN"/>
        </w:rPr>
        <w:t>薄页纸、特种用纸（金融、建材、电气电力、微电子、国防、通讯、食品、医疗等所需要的功能性用纸）、纸板</w:t>
      </w:r>
      <w:r>
        <w:rPr>
          <w:rFonts w:ascii="Times New Roman" w:hAnsi="Times New Roman" w:eastAsia="宋体" w:cs="Times New Roman"/>
          <w:color w:val="auto"/>
          <w:sz w:val="24"/>
          <w:highlight w:val="none"/>
        </w:rPr>
        <w:t>，年生产330天，每天约</w:t>
      </w:r>
      <w:r>
        <w:rPr>
          <w:rFonts w:hint="eastAsia" w:ascii="Times New Roman" w:hAnsi="Times New Roman" w:eastAsia="宋体" w:cs="Times New Roman"/>
          <w:color w:val="auto"/>
          <w:sz w:val="24"/>
          <w:highlight w:val="none"/>
          <w:lang w:val="en-US" w:eastAsia="zh-CN"/>
        </w:rPr>
        <w:t>30.3</w:t>
      </w:r>
      <w:r>
        <w:rPr>
          <w:rFonts w:ascii="Times New Roman" w:hAnsi="Times New Roman" w:eastAsia="宋体" w:cs="Times New Roman"/>
          <w:color w:val="auto"/>
          <w:sz w:val="24"/>
          <w:highlight w:val="none"/>
        </w:rPr>
        <w:t>吨，1.</w:t>
      </w:r>
      <w:r>
        <w:rPr>
          <w:rFonts w:hint="eastAsia" w:ascii="Times New Roman" w:hAnsi="Times New Roman" w:eastAsia="宋体" w:cs="Times New Roman"/>
          <w:color w:val="auto"/>
          <w:sz w:val="24"/>
          <w:highlight w:val="none"/>
          <w:lang w:val="en-US" w:eastAsia="zh-CN"/>
        </w:rPr>
        <w:t>3</w:t>
      </w:r>
      <w:r>
        <w:rPr>
          <w:rFonts w:ascii="Times New Roman" w:hAnsi="Times New Roman" w:eastAsia="宋体" w:cs="Times New Roman"/>
          <w:color w:val="auto"/>
          <w:sz w:val="24"/>
          <w:highlight w:val="none"/>
        </w:rPr>
        <w:t>t/h，平均蒸汽耗用量1.6m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/t产品左右，24小时连续生产，由此可计算出生产每小时需要2.67</w:t>
      </w:r>
      <w:r>
        <w:rPr>
          <w:rFonts w:hint="eastAsia" w:ascii="Times New Roman" w:cs="Times New Roman"/>
          <w:color w:val="auto"/>
          <w:sz w:val="24"/>
          <w:highlight w:val="none"/>
          <w:lang w:val="en-US" w:eastAsia="zh-CN"/>
        </w:rPr>
        <w:t>t</w:t>
      </w:r>
      <w:r>
        <w:rPr>
          <w:rFonts w:ascii="Times New Roman" w:hAnsi="Times New Roman" w:eastAsia="宋体" w:cs="Times New Roman"/>
          <w:color w:val="auto"/>
          <w:sz w:val="24"/>
          <w:highlight w:val="none"/>
        </w:rPr>
        <w:t>蒸汽</w:t>
      </w:r>
      <w:r>
        <w:rPr>
          <w:rFonts w:hint="eastAsia" w:ascii="Times New Roman" w:cs="Times New Roman"/>
          <w:color w:val="auto"/>
          <w:sz w:val="24"/>
          <w:highlight w:val="none"/>
          <w:lang w:eastAsia="zh-CN"/>
        </w:rPr>
        <w:t>（</w:t>
      </w:r>
      <w:r>
        <w:rPr>
          <w:rFonts w:hint="eastAsia" w:ascii="Times New Roman" w:cs="Times New Roman"/>
          <w:color w:val="auto"/>
          <w:sz w:val="24"/>
          <w:highlight w:val="none"/>
          <w:lang w:val="en-US" w:eastAsia="zh-CN"/>
        </w:rPr>
        <w:t>密度1.284kg/m</w:t>
      </w:r>
      <w:r>
        <w:rPr>
          <w:rFonts w:hint="eastAsia" w:ascii="Times New Roman" w:cs="Times New Roman"/>
          <w:color w:val="auto"/>
          <w:sz w:val="24"/>
          <w:highlight w:val="none"/>
          <w:vertAlign w:val="superscript"/>
          <w:lang w:val="en-US" w:eastAsia="zh-CN"/>
        </w:rPr>
        <w:t>3</w:t>
      </w:r>
      <w:r>
        <w:rPr>
          <w:rFonts w:hint="eastAsia" w:ascii="Times New Roman" w:cs="Times New Roman"/>
          <w:color w:val="auto"/>
          <w:sz w:val="24"/>
          <w:highlight w:val="none"/>
          <w:lang w:eastAsia="zh-CN"/>
        </w:rPr>
        <w:t>）</w:t>
      </w:r>
      <w:r>
        <w:rPr>
          <w:rFonts w:ascii="Times New Roman" w:hAnsi="Times New Roman" w:eastAsia="宋体" w:cs="Times New Roman"/>
          <w:color w:val="auto"/>
          <w:sz w:val="24"/>
          <w:highlight w:val="none"/>
        </w:rPr>
        <w:t>，考虑到企业远期发展，本项目</w:t>
      </w:r>
      <w:r>
        <w:rPr>
          <w:rFonts w:hint="eastAsia" w:ascii="Times New Roman" w:hAnsi="Times New Roman" w:eastAsia="宋体" w:cs="Times New Roman"/>
          <w:color w:val="auto"/>
          <w:sz w:val="24"/>
          <w:highlight w:val="none"/>
          <w:lang w:eastAsia="zh-CN"/>
        </w:rPr>
        <w:t>采用</w:t>
      </w:r>
      <w:r>
        <w:rPr>
          <w:rFonts w:ascii="Times New Roman" w:hAnsi="Times New Roman" w:eastAsia="宋体" w:cs="Times New Roman"/>
          <w:color w:val="auto"/>
          <w:sz w:val="24"/>
          <w:highlight w:val="none"/>
        </w:rPr>
        <w:t>一台</w:t>
      </w:r>
      <w:r>
        <w:rPr>
          <w:rFonts w:hint="eastAsia" w:ascii="Times New Roman" w:hAnsi="Times New Roman" w:eastAsia="宋体" w:cs="Times New Roman"/>
          <w:color w:val="auto"/>
          <w:sz w:val="24"/>
          <w:highlight w:val="none"/>
          <w:lang w:val="en-US" w:eastAsia="zh-CN"/>
        </w:rPr>
        <w:t>6</w:t>
      </w:r>
      <w:r>
        <w:rPr>
          <w:rFonts w:ascii="Times New Roman" w:hAnsi="Times New Roman" w:eastAsia="宋体" w:cs="Times New Roman"/>
          <w:color w:val="auto"/>
          <w:sz w:val="24"/>
          <w:highlight w:val="none"/>
        </w:rPr>
        <w:t>t/h</w:t>
      </w:r>
      <w:r>
        <w:rPr>
          <w:rFonts w:hint="eastAsia" w:ascii="Times New Roman" w:hAnsi="Times New Roman" w:eastAsia="宋体" w:cs="Times New Roman"/>
          <w:color w:val="auto"/>
          <w:sz w:val="24"/>
          <w:highlight w:val="none"/>
          <w:lang w:eastAsia="zh-CN"/>
        </w:rPr>
        <w:t>生物质</w:t>
      </w:r>
      <w:r>
        <w:rPr>
          <w:rFonts w:ascii="Times New Roman" w:hAnsi="Times New Roman" w:eastAsia="宋体" w:cs="Times New Roman"/>
          <w:color w:val="auto"/>
          <w:sz w:val="24"/>
          <w:highlight w:val="none"/>
        </w:rPr>
        <w:t>锅炉为本项目生产提供热源，能满足本项目用热需求。年耗</w:t>
      </w:r>
      <w:r>
        <w:rPr>
          <w:rFonts w:hint="eastAsia" w:ascii="Times New Roman" w:hAnsi="Times New Roman" w:eastAsia="宋体" w:cs="Times New Roman"/>
          <w:color w:val="auto"/>
          <w:sz w:val="24"/>
          <w:highlight w:val="none"/>
          <w:lang w:eastAsia="zh-CN"/>
        </w:rPr>
        <w:t>生物质颗粒</w:t>
      </w:r>
      <w:r>
        <w:rPr>
          <w:rFonts w:ascii="Times New Roman" w:hAnsi="Times New Roman" w:eastAsia="宋体" w:cs="Times New Roman"/>
          <w:color w:val="auto"/>
          <w:sz w:val="24"/>
          <w:highlight w:val="none"/>
        </w:rPr>
        <w:t>约</w:t>
      </w:r>
      <w:r>
        <w:rPr>
          <w:rFonts w:hint="eastAsia" w:cs="Times New Roman"/>
          <w:color w:val="auto"/>
          <w:sz w:val="24"/>
          <w:highlight w:val="none"/>
          <w:lang w:val="en-US" w:eastAsia="zh-CN"/>
        </w:rPr>
        <w:t>4165</w:t>
      </w:r>
      <w:r>
        <w:rPr>
          <w:rFonts w:hint="eastAsia" w:ascii="Times New Roman" w:hAnsi="Times New Roman" w:eastAsia="宋体" w:cs="Times New Roman"/>
          <w:color w:val="auto"/>
          <w:sz w:val="24"/>
          <w:highlight w:val="none"/>
          <w:lang w:val="en-US" w:eastAsia="zh-CN"/>
        </w:rPr>
        <w:t>吨</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由建设单位外购</w:t>
      </w:r>
      <w:r>
        <w:rPr>
          <w:rFonts w:hint="eastAsia" w:ascii="Times New Roman" w:hAnsi="Times New Roman" w:eastAsia="宋体" w:cs="Times New Roman"/>
          <w:color w:val="auto"/>
          <w:sz w:val="24"/>
          <w:highlight w:val="none"/>
        </w:rPr>
        <w:t>。</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06" w:name="_bookmark55"/>
      <w:bookmarkEnd w:id="206"/>
      <w:bookmarkStart w:id="207" w:name="_bookmark55"/>
      <w:bookmarkEnd w:id="207"/>
      <w:bookmarkStart w:id="208" w:name="_Toc44669055"/>
      <w:bookmarkStart w:id="209" w:name="_Toc12781"/>
      <w:r>
        <w:rPr>
          <w:rFonts w:hint="eastAsia" w:ascii="Times New Roman" w:hAnsi="Times New Roman" w:eastAsia="宋体" w:cs="Times New Roman"/>
          <w:bCs w:val="0"/>
          <w:color w:val="auto"/>
          <w:kern w:val="2"/>
          <w:szCs w:val="20"/>
          <w:highlight w:val="none"/>
          <w:lang w:val="en-US" w:bidi="ar-SA"/>
        </w:rPr>
        <w:t>3.</w:t>
      </w:r>
      <w:r>
        <w:rPr>
          <w:rFonts w:hint="eastAsia" w:ascii="Times New Roman" w:hAnsi="Times New Roman" w:eastAsia="宋体" w:cs="Times New Roman"/>
          <w:bCs w:val="0"/>
          <w:color w:val="auto"/>
          <w:kern w:val="2"/>
          <w:szCs w:val="20"/>
          <w:highlight w:val="none"/>
          <w:lang w:val="en-US" w:eastAsia="zh-CN" w:bidi="ar-SA"/>
        </w:rPr>
        <w:t>3</w:t>
      </w:r>
      <w:r>
        <w:rPr>
          <w:rFonts w:hint="eastAsia" w:ascii="Times New Roman" w:hAnsi="Times New Roman" w:eastAsia="宋体" w:cs="Times New Roman"/>
          <w:bCs w:val="0"/>
          <w:color w:val="auto"/>
          <w:kern w:val="2"/>
          <w:szCs w:val="20"/>
          <w:highlight w:val="none"/>
          <w:lang w:val="en-US" w:bidi="ar-SA"/>
        </w:rPr>
        <w:t>生产工艺流程</w:t>
      </w:r>
      <w:bookmarkEnd w:id="208"/>
      <w:bookmarkEnd w:id="209"/>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hint="eastAsia" w:ascii="Times New Roman" w:hAnsi="Times New Roman" w:eastAsia="宋体" w:cs="Times New Roman"/>
          <w:bCs w:val="0"/>
          <w:color w:val="auto"/>
          <w:szCs w:val="20"/>
          <w:highlight w:val="none"/>
          <w:lang w:val="en-US" w:bidi="ar-SA"/>
        </w:rPr>
      </w:pPr>
      <w:bookmarkStart w:id="210" w:name="_Toc22098"/>
      <w:r>
        <w:rPr>
          <w:rFonts w:hint="eastAsia"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3</w:t>
      </w:r>
      <w:r>
        <w:rPr>
          <w:rFonts w:hint="eastAsia" w:ascii="Times New Roman" w:hAnsi="Times New Roman" w:eastAsia="宋体" w:cs="Times New Roman"/>
          <w:bCs w:val="0"/>
          <w:color w:val="auto"/>
          <w:szCs w:val="20"/>
          <w:highlight w:val="none"/>
          <w:lang w:val="en-US" w:bidi="ar-SA"/>
        </w:rPr>
        <w:t>.1工艺流程及产污节点</w:t>
      </w:r>
      <w:bookmarkEnd w:id="210"/>
    </w:p>
    <w:p>
      <w:pPr>
        <w:bidi w:val="0"/>
        <w:spacing w:line="500" w:lineRule="exact"/>
        <w:ind w:firstLine="480" w:firstLineChars="200"/>
        <w:rPr>
          <w:rFonts w:ascii="Times New Roman" w:hAnsi="Times New Roman" w:eastAsia="宋体" w:cs="Times New Roman"/>
          <w:color w:val="auto"/>
          <w:sz w:val="24"/>
          <w:highlight w:val="none"/>
        </w:rPr>
      </w:pPr>
      <w:bookmarkStart w:id="211" w:name="_Toc81"/>
      <w:bookmarkStart w:id="212" w:name="_Toc7280"/>
      <w:bookmarkStart w:id="213" w:name="_Toc28199"/>
      <w:r>
        <w:rPr>
          <w:rFonts w:ascii="Times New Roman" w:hAnsi="Times New Roman" w:eastAsia="宋体" w:cs="Times New Roman"/>
          <w:color w:val="auto"/>
          <w:sz w:val="24"/>
          <w:highlight w:val="none"/>
        </w:rPr>
        <w:t>本项目无脱墨和漂白</w:t>
      </w:r>
      <w:r>
        <w:rPr>
          <w:rFonts w:hint="eastAsia" w:cs="Times New Roman"/>
          <w:color w:val="auto"/>
          <w:sz w:val="24"/>
          <w:highlight w:val="none"/>
          <w:lang w:eastAsia="zh-CN"/>
        </w:rPr>
        <w:t>工序</w:t>
      </w:r>
      <w:r>
        <w:rPr>
          <w:rFonts w:ascii="Times New Roman" w:hAnsi="Times New Roman" w:eastAsia="宋体" w:cs="Times New Roman"/>
          <w:color w:val="auto"/>
          <w:sz w:val="24"/>
          <w:highlight w:val="none"/>
        </w:rPr>
        <w:t>，生产</w:t>
      </w:r>
      <w:r>
        <w:rPr>
          <w:rFonts w:hint="eastAsia" w:ascii="Times New Roman" w:hAnsi="Times New Roman" w:eastAsia="宋体" w:cs="Times New Roman"/>
          <w:color w:val="auto"/>
          <w:sz w:val="24"/>
          <w:highlight w:val="none"/>
          <w:lang w:eastAsia="zh-CN"/>
        </w:rPr>
        <w:t>工艺流程</w:t>
      </w:r>
      <w:r>
        <w:rPr>
          <w:rFonts w:ascii="Times New Roman" w:hAnsi="Times New Roman" w:eastAsia="宋体" w:cs="Times New Roman"/>
          <w:color w:val="auto"/>
          <w:sz w:val="24"/>
          <w:highlight w:val="none"/>
        </w:rPr>
        <w:t>简述如下：</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1）原料筛选</w:t>
      </w:r>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ascii="Times New Roman" w:hAnsi="Times New Roman" w:eastAsia="宋体" w:cs="Times New Roman"/>
          <w:color w:val="auto"/>
          <w:sz w:val="24"/>
          <w:highlight w:val="none"/>
        </w:rPr>
        <w:t>生产前</w:t>
      </w:r>
      <w:r>
        <w:rPr>
          <w:rFonts w:hint="eastAsia" w:ascii="Times New Roman" w:cs="Times New Roman"/>
          <w:color w:val="auto"/>
          <w:sz w:val="24"/>
          <w:highlight w:val="none"/>
          <w:lang w:val="en-US" w:eastAsia="zh-CN"/>
        </w:rPr>
        <w:t>对</w:t>
      </w:r>
      <w:r>
        <w:rPr>
          <w:rFonts w:hint="eastAsia" w:ascii="Times New Roman" w:hAnsi="Times New Roman" w:eastAsia="宋体" w:cs="Times New Roman"/>
          <w:color w:val="auto"/>
          <w:sz w:val="24"/>
          <w:highlight w:val="none"/>
        </w:rPr>
        <w:t>漂白针叶木浆和</w:t>
      </w:r>
      <w:r>
        <w:rPr>
          <w:rFonts w:hint="eastAsia" w:ascii="Times New Roman" w:cs="Times New Roman"/>
          <w:color w:val="auto"/>
          <w:sz w:val="24"/>
          <w:highlight w:val="none"/>
          <w:lang w:eastAsia="zh-CN"/>
        </w:rPr>
        <w:t>木浆成份纸板</w:t>
      </w:r>
      <w:r>
        <w:rPr>
          <w:rFonts w:ascii="Times New Roman" w:hAnsi="Times New Roman" w:eastAsia="宋体" w:cs="Times New Roman"/>
          <w:color w:val="auto"/>
          <w:sz w:val="24"/>
          <w:highlight w:val="none"/>
        </w:rPr>
        <w:t>进行人工分拣，经分拣后的</w:t>
      </w:r>
      <w:r>
        <w:rPr>
          <w:rFonts w:hint="eastAsia" w:ascii="Times New Roman" w:cs="Times New Roman"/>
          <w:color w:val="auto"/>
          <w:sz w:val="24"/>
          <w:highlight w:val="none"/>
          <w:lang w:val="en-US" w:eastAsia="zh-CN"/>
        </w:rPr>
        <w:t>生产原料</w:t>
      </w:r>
      <w:r>
        <w:rPr>
          <w:rFonts w:ascii="Times New Roman" w:hAnsi="Times New Roman" w:eastAsia="宋体" w:cs="Times New Roman"/>
          <w:color w:val="auto"/>
          <w:sz w:val="24"/>
          <w:highlight w:val="none"/>
        </w:rPr>
        <w:t>由链板输送机送入水力碎浆机制纸浆</w:t>
      </w:r>
      <w:r>
        <w:rPr>
          <w:rFonts w:hint="eastAsia" w:ascii="Times New Roman" w:cs="Times New Roman"/>
          <w:color w:val="auto"/>
          <w:sz w:val="24"/>
          <w:highlight w:val="none"/>
          <w:lang w:eastAsia="zh-CN"/>
        </w:rPr>
        <w:t>。</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2）制浆系统</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1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①</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水力碎浆</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cs="Times New Roman"/>
          <w:color w:val="auto"/>
          <w:sz w:val="24"/>
          <w:highlight w:val="none"/>
          <w:lang w:val="en-US" w:eastAsia="zh-CN"/>
        </w:rPr>
        <w:t>原料</w:t>
      </w:r>
      <w:r>
        <w:rPr>
          <w:rFonts w:ascii="Times New Roman" w:hAnsi="Times New Roman" w:eastAsia="宋体" w:cs="Times New Roman"/>
          <w:color w:val="auto"/>
          <w:sz w:val="24"/>
          <w:highlight w:val="none"/>
        </w:rPr>
        <w:t>在水力碎浆机机械高速搅拌下，粉碎后料浆进入料浆池</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共4座，单座4×4×4m），水力碎浆过程中的用水来自回用水。</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2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②</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浆料纤维分离</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浆料纤维分离是料浆在水力碎解后，进入纤维分离机和压力筛进行</w:t>
      </w:r>
      <w:r>
        <w:rPr>
          <w:rFonts w:hint="eastAsia" w:ascii="Times New Roman" w:cs="Times New Roman"/>
          <w:color w:val="auto"/>
          <w:sz w:val="24"/>
          <w:highlight w:val="none"/>
          <w:lang w:val="en-US" w:eastAsia="zh-CN"/>
        </w:rPr>
        <w:t>原料</w:t>
      </w:r>
      <w:r>
        <w:rPr>
          <w:rFonts w:ascii="Times New Roman" w:hAnsi="Times New Roman" w:eastAsia="宋体" w:cs="Times New Roman"/>
          <w:color w:val="auto"/>
          <w:sz w:val="24"/>
          <w:highlight w:val="none"/>
        </w:rPr>
        <w:t>的</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二级碎解</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和分离，目的是分离杂质和提高疏解率，利用纤维与杂质比重的不同，采用机械分离法将杂质分离。分离出杂质经过跳筛回收部分纤维返回纤维分离机。除砂、纤维分离过程产生的</w:t>
      </w:r>
      <w:r>
        <w:rPr>
          <w:rFonts w:hint="eastAsia" w:cs="Times New Roman"/>
          <w:color w:val="auto"/>
          <w:sz w:val="24"/>
          <w:highlight w:val="none"/>
          <w:lang w:val="en-US" w:eastAsia="zh-CN"/>
        </w:rPr>
        <w:t>杂质（</w:t>
      </w:r>
      <w:r>
        <w:rPr>
          <w:rFonts w:ascii="Times New Roman" w:hAnsi="Times New Roman" w:eastAsia="宋体" w:cs="Times New Roman"/>
          <w:color w:val="auto"/>
          <w:sz w:val="24"/>
          <w:highlight w:val="none"/>
        </w:rPr>
        <w:t>砂、土、纤维</w:t>
      </w:r>
      <w:r>
        <w:rPr>
          <w:rFonts w:hint="eastAsia" w:cs="Times New Roman"/>
          <w:color w:val="auto"/>
          <w:sz w:val="24"/>
          <w:highlight w:val="none"/>
          <w:lang w:val="en-US" w:eastAsia="zh-CN"/>
        </w:rPr>
        <w:t>）</w:t>
      </w:r>
      <w:r>
        <w:rPr>
          <w:rFonts w:ascii="Times New Roman" w:hAnsi="Times New Roman" w:eastAsia="宋体" w:cs="Times New Roman"/>
          <w:color w:val="auto"/>
          <w:sz w:val="24"/>
          <w:highlight w:val="none"/>
        </w:rPr>
        <w:t>等杂物，外运</w:t>
      </w:r>
      <w:r>
        <w:rPr>
          <w:rFonts w:hint="eastAsia" w:ascii="Times New Roman" w:hAnsi="Times New Roman" w:eastAsia="宋体" w:cs="Times New Roman"/>
          <w:color w:val="auto"/>
          <w:sz w:val="24"/>
          <w:highlight w:val="none"/>
        </w:rPr>
        <w:t>至垃圾填埋场</w:t>
      </w:r>
      <w:r>
        <w:rPr>
          <w:rFonts w:ascii="Times New Roman" w:hAnsi="Times New Roman" w:eastAsia="宋体" w:cs="Times New Roman"/>
          <w:color w:val="auto"/>
          <w:sz w:val="24"/>
          <w:highlight w:val="none"/>
        </w:rPr>
        <w:t>填埋处理。</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3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③</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磨浆</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经以上过程净化处理后的脱除一定量的水分后</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浓度达到5％左右）才能进行磨浆处理。纸浆浓缩设备为斜筛脱水机，料浆进入斜筛脱水机进行浓缩处理，以去除料浆中的部分水分，从而使料浆浓缩到预定的浓度。经浓缩的料浆进入双盘磨中进一步磨浆处理。浓缩过程中产生的废水经厂内自建污水处理站处理后回用于生产过程。</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磨浆的作用是进一步分散和疏解纸浆纤维。经磨浆后的料浆进入调浆池中。</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3）造纸系统</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1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①</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调浆</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为使料浆达到抄纸料浆浓度要求，需加入来自经污水处理站处理后的水，进一步稀释料。</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2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②</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抄纸</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经上述工艺处理后的料浆进入纸机的真空网笼上网，网部成型，成型后的浆料浓度为20%，经机械压榨</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浆料浓度为40%）和蒸汽烘干脱水后</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出纸干度为92%），经卷取及复卷后成为产品。产生的冲网废水全部由污水处理站处理后回用于生产过程。</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fldChar w:fldCharType="begin"/>
      </w:r>
      <w:r>
        <w:rPr>
          <w:rFonts w:ascii="Times New Roman" w:hAnsi="Times New Roman" w:eastAsia="宋体" w:cs="Times New Roman"/>
          <w:color w:val="auto"/>
          <w:sz w:val="24"/>
          <w:highlight w:val="none"/>
        </w:rPr>
        <w:instrText xml:space="preserve"> = 3 \* GB3 </w:instrText>
      </w:r>
      <w:r>
        <w:rPr>
          <w:rFonts w:ascii="Times New Roman" w:hAnsi="Times New Roman" w:eastAsia="宋体" w:cs="Times New Roman"/>
          <w:color w:val="auto"/>
          <w:sz w:val="24"/>
          <w:highlight w:val="none"/>
        </w:rPr>
        <w:fldChar w:fldCharType="separate"/>
      </w:r>
      <w:r>
        <w:rPr>
          <w:rFonts w:ascii="Times New Roman" w:hAnsi="Times New Roman" w:eastAsia="宋体" w:cs="Times New Roman"/>
          <w:color w:val="auto"/>
          <w:sz w:val="24"/>
          <w:highlight w:val="none"/>
        </w:rPr>
        <w:t>③</w:t>
      </w:r>
      <w:r>
        <w:rPr>
          <w:rFonts w:ascii="Times New Roman" w:hAnsi="Times New Roman" w:eastAsia="宋体" w:cs="Times New Roman"/>
          <w:color w:val="auto"/>
          <w:sz w:val="24"/>
          <w:highlight w:val="none"/>
        </w:rPr>
        <w:fldChar w:fldCharType="end"/>
      </w:r>
      <w:r>
        <w:rPr>
          <w:rFonts w:ascii="Times New Roman" w:hAnsi="Times New Roman" w:eastAsia="宋体" w:cs="Times New Roman"/>
          <w:color w:val="auto"/>
          <w:sz w:val="24"/>
          <w:highlight w:val="none"/>
        </w:rPr>
        <w:t>输送打包</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抄纸纸卷进入复卷机复卷后输送、称重、打包入库。</w:t>
      </w:r>
    </w:p>
    <w:p>
      <w:pP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br w:type="page"/>
      </w:r>
    </w:p>
    <w:p>
      <w:pPr>
        <w:spacing w:line="240" w:lineRule="auto"/>
        <w:ind w:left="0" w:leftChars="0" w:firstLine="0" w:firstLineChars="0"/>
        <w:jc w:val="both"/>
        <w:rPr>
          <w:rFonts w:hint="default" w:ascii="Times New Roman" w:hAnsi="Times New Roman" w:eastAsia="宋体" w:cs="Times New Roman"/>
          <w:caps w:val="0"/>
          <w:smallCaps w:val="0"/>
          <w:color w:val="auto"/>
          <w:spacing w:val="0"/>
          <w:w w:val="99"/>
          <w:position w:val="0"/>
          <w:highlight w:val="none"/>
          <w:lang w:val="en-US" w:eastAsia="zh-CN"/>
        </w:rPr>
      </w:pPr>
      <w:r>
        <w:rPr>
          <w:sz w:val="24"/>
        </w:rPr>
        <mc:AlternateContent>
          <mc:Choice Requires="wps">
            <w:drawing>
              <wp:anchor distT="0" distB="0" distL="114300" distR="114300" simplePos="0" relativeHeight="251673600" behindDoc="0" locked="0" layoutInCell="1" allowOverlap="1">
                <wp:simplePos x="0" y="0"/>
                <wp:positionH relativeFrom="column">
                  <wp:posOffset>1624965</wp:posOffset>
                </wp:positionH>
                <wp:positionV relativeFrom="paragraph">
                  <wp:posOffset>523875</wp:posOffset>
                </wp:positionV>
                <wp:extent cx="505460" cy="313055"/>
                <wp:effectExtent l="23495" t="41275" r="23495" b="45720"/>
                <wp:wrapNone/>
                <wp:docPr id="67" name="矩形 67"/>
                <wp:cNvGraphicFramePr/>
                <a:graphic xmlns:a="http://schemas.openxmlformats.org/drawingml/2006/main">
                  <a:graphicData uri="http://schemas.microsoft.com/office/word/2010/wordprocessingShape">
                    <wps:wsp>
                      <wps:cNvSpPr/>
                      <wps:spPr>
                        <a:xfrm rot="600000">
                          <a:off x="4213225" y="3118485"/>
                          <a:ext cx="505460" cy="313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95pt;margin-top:41.25pt;height:24.65pt;width:39.8pt;rotation:655360f;z-index:251673600;v-text-anchor:middle;mso-width-relative:page;mso-height-relative:page;" fillcolor="#FFFFFF [3212]" filled="t" stroked="f" coordsize="21600,21600" o:gfxdata="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nToStkAAAAKAQAADwAAAAAAAAABACAA&#10;AAAiAAAAZHJzL2Rvd25yZXYueG1sUEsBAhQAFAAAAAgAh07iQIK4biZ+AgAA5QQAAA4AAAAAAAAA&#10;AQAgAAAAKAEAAGRycy9lMm9Eb2MueG1sUEsFBgAAAAAGAAYAWQEAABgGA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1588770</wp:posOffset>
                </wp:positionH>
                <wp:positionV relativeFrom="paragraph">
                  <wp:posOffset>71120</wp:posOffset>
                </wp:positionV>
                <wp:extent cx="2459990" cy="380365"/>
                <wp:effectExtent l="0" t="0" r="16510" b="635"/>
                <wp:wrapNone/>
                <wp:docPr id="48" name="文本框 48"/>
                <wp:cNvGraphicFramePr/>
                <a:graphic xmlns:a="http://schemas.openxmlformats.org/drawingml/2006/main">
                  <a:graphicData uri="http://schemas.microsoft.com/office/word/2010/wordprocessingShape">
                    <wps:wsp>
                      <wps:cNvSpPr txBox="1"/>
                      <wps:spPr>
                        <a:xfrm>
                          <a:off x="3215640" y="1461770"/>
                          <a:ext cx="2459990" cy="3803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1"/>
                                <w:szCs w:val="21"/>
                                <w:lang w:eastAsia="zh-CN"/>
                              </w:rPr>
                            </w:pPr>
                            <w:r>
                              <w:rPr>
                                <w:rFonts w:hint="eastAsia"/>
                                <w:sz w:val="21"/>
                                <w:szCs w:val="21"/>
                              </w:rPr>
                              <w:t>漂白针叶木浆和</w:t>
                            </w:r>
                            <w:r>
                              <w:rPr>
                                <w:rFonts w:hint="eastAsia"/>
                                <w:sz w:val="21"/>
                                <w:szCs w:val="21"/>
                                <w:lang w:eastAsia="zh-CN"/>
                              </w:rPr>
                              <w:t>木浆成份纸板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1pt;margin-top:5.6pt;height:29.95pt;width:193.7pt;z-index:251671552;mso-width-relative:page;mso-height-relative:page;" fillcolor="#FFFFFF [3201]" filled="t" stroked="f" coordsize="21600,21600" o:gfxdata="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dud3PUAAAA&#10;CQEAAA8AAAAAAAAAAQAgAAAAIgAAAGRycy9kb3ducmV2LnhtbFBLAQIUABQAAAAIAIdO4kA6RVqO&#10;WgIAAJ0EAAAOAAAAAAAAAAEAIAAAACMBAABkcnMvZTJvRG9jLnhtbFBLBQYAAAAABgAGAFkBAADv&#10;BQAAAAA=&#10;">
                <v:fill on="t" focussize="0,0"/>
                <v:stroke on="f" weight="0.5pt"/>
                <v:imagedata o:title=""/>
                <o:lock v:ext="edit" aspectratio="f"/>
                <v:textbox>
                  <w:txbxContent>
                    <w:p>
                      <w:pPr>
                        <w:rPr>
                          <w:rFonts w:hint="eastAsia" w:eastAsia="宋体"/>
                          <w:sz w:val="21"/>
                          <w:szCs w:val="21"/>
                          <w:lang w:eastAsia="zh-CN"/>
                        </w:rPr>
                      </w:pPr>
                      <w:r>
                        <w:rPr>
                          <w:rFonts w:hint="eastAsia"/>
                          <w:sz w:val="21"/>
                          <w:szCs w:val="21"/>
                        </w:rPr>
                        <w:t>漂白针叶木浆和</w:t>
                      </w:r>
                      <w:r>
                        <w:rPr>
                          <w:rFonts w:hint="eastAsia"/>
                          <w:sz w:val="21"/>
                          <w:szCs w:val="21"/>
                          <w:lang w:eastAsia="zh-CN"/>
                        </w:rPr>
                        <w:t>木浆成份纸板</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3038475</wp:posOffset>
                </wp:positionH>
                <wp:positionV relativeFrom="paragraph">
                  <wp:posOffset>1204595</wp:posOffset>
                </wp:positionV>
                <wp:extent cx="1304925" cy="493395"/>
                <wp:effectExtent l="0" t="0" r="9525" b="1905"/>
                <wp:wrapNone/>
                <wp:docPr id="66" name="矩形 66"/>
                <wp:cNvGraphicFramePr/>
                <a:graphic xmlns:a="http://schemas.openxmlformats.org/drawingml/2006/main">
                  <a:graphicData uri="http://schemas.microsoft.com/office/word/2010/wordprocessingShape">
                    <wps:wsp>
                      <wps:cNvSpPr/>
                      <wps:spPr>
                        <a:xfrm>
                          <a:off x="4213225" y="2496820"/>
                          <a:ext cx="1304925" cy="4933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25pt;margin-top:94.85pt;height:38.85pt;width:102.75pt;z-index:251672576;v-text-anchor:middle;mso-width-relative:page;mso-height-relative:page;" fillcolor="#FFFFFF [3212]" filled="t" stroked="f" coordsize="21600,21600" o:gfxdata="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kogBdoAAAALAQAADwAAAAAAAAABACAAAAAi&#10;AAAAZHJzL2Rvd25yZXYueG1sUEsBAhQAFAAAAAgAh07iQB3n7NN6AgAA2QQAAA4AAAAAAAAAAQAg&#10;AAAAKQEAAGRycy9lMm9Eb2MueG1sUEsFBgAAAAAGAAYAWQEAABUGA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380365</wp:posOffset>
                </wp:positionH>
                <wp:positionV relativeFrom="paragraph">
                  <wp:posOffset>131445</wp:posOffset>
                </wp:positionV>
                <wp:extent cx="503555" cy="414655"/>
                <wp:effectExtent l="0" t="0" r="10795" b="4445"/>
                <wp:wrapNone/>
                <wp:docPr id="68" name="矩形 68"/>
                <wp:cNvGraphicFramePr/>
                <a:graphic xmlns:a="http://schemas.openxmlformats.org/drawingml/2006/main">
                  <a:graphicData uri="http://schemas.microsoft.com/office/word/2010/wordprocessingShape">
                    <wps:wsp>
                      <wps:cNvSpPr/>
                      <wps:spPr>
                        <a:xfrm>
                          <a:off x="2708910" y="1761490"/>
                          <a:ext cx="503555" cy="4146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5pt;margin-top:10.35pt;height:32.65pt;width:39.65pt;z-index:251674624;v-text-anchor:middle;mso-width-relative:page;mso-height-relative:page;" fillcolor="#FFFFFF [3212]" filled="t" stroked="f" coordsize="21600,21600" o:gfxdata="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xxqv9gAAAAIAQAADwAAAAAAAAABACAAAAAiAAAAZHJz&#10;L2Rvd25yZXYueG1sUEsBAhQAFAAAAAgAh07iQCP5NUd2AgAA2AQAAA4AAAAAAAAAAQAgAAAAJwEA&#10;AGRycy9lMm9Eb2MueG1sUEsFBgAAAAAGAAYAWQEAAA8GAAAAAA==&#10;">
                <v:fill on="t" focussize="0,0"/>
                <v:stroke on="f" weight="1pt" miterlimit="8" joinstyle="miter"/>
                <v:imagedata o:title=""/>
                <o:lock v:ext="edit" aspectratio="f"/>
              </v:rect>
            </w:pict>
          </mc:Fallback>
        </mc:AlternateContent>
      </w:r>
      <w:r>
        <w:rPr>
          <w:color w:val="auto"/>
          <w:highlight w:val="none"/>
        </w:rPr>
        <w:drawing>
          <wp:inline distT="0" distB="0" distL="114300" distR="114300">
            <wp:extent cx="5269230" cy="4953000"/>
            <wp:effectExtent l="0" t="0" r="762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35"/>
                    <a:stretch>
                      <a:fillRect/>
                    </a:stretch>
                  </pic:blipFill>
                  <pic:spPr>
                    <a:xfrm>
                      <a:off x="0" y="0"/>
                      <a:ext cx="5269230" cy="4953000"/>
                    </a:xfrm>
                    <a:prstGeom prst="rect">
                      <a:avLst/>
                    </a:prstGeom>
                    <a:noFill/>
                    <a:ln>
                      <a:noFill/>
                    </a:ln>
                  </pic:spPr>
                </pic:pic>
              </a:graphicData>
            </a:graphic>
          </wp:inline>
        </w:drawing>
      </w:r>
    </w:p>
    <w:p>
      <w:pPr>
        <w:pStyle w:val="4"/>
        <w:spacing w:line="360" w:lineRule="auto"/>
        <w:ind w:left="0" w:leftChars="0" w:firstLine="0" w:firstLineChars="0"/>
        <w:jc w:val="both"/>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drawing>
          <wp:inline distT="0" distB="0" distL="114300" distR="114300">
            <wp:extent cx="4166870" cy="969010"/>
            <wp:effectExtent l="0" t="0" r="5080" b="254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36"/>
                    <a:stretch>
                      <a:fillRect/>
                    </a:stretch>
                  </pic:blipFill>
                  <pic:spPr>
                    <a:xfrm>
                      <a:off x="0" y="0"/>
                      <a:ext cx="4166870" cy="969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500" w:lineRule="exact"/>
        <w:ind w:firstLine="0" w:firstLineChars="0"/>
        <w:jc w:val="center"/>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图3.3</w:t>
      </w:r>
      <w:r>
        <w:rPr>
          <w:rFonts w:hint="eastAsia" w:ascii="Times New Roman" w:hAnsi="Times New Roman" w:eastAsia="宋体" w:cs="Times New Roman"/>
          <w:color w:val="auto"/>
          <w:sz w:val="24"/>
          <w:highlight w:val="none"/>
          <w:lang w:val="en-US" w:eastAsia="zh-CN"/>
        </w:rPr>
        <w:t>.1</w:t>
      </w:r>
      <w:r>
        <w:rPr>
          <w:rFonts w:ascii="Times New Roman" w:hAnsi="Times New Roman" w:eastAsia="宋体" w:cs="Times New Roman"/>
          <w:color w:val="auto"/>
          <w:sz w:val="24"/>
          <w:highlight w:val="none"/>
        </w:rPr>
        <w:t>-1  制浆工艺流程及产污</w:t>
      </w:r>
      <w:r>
        <w:rPr>
          <w:rFonts w:hint="eastAsia" w:ascii="Times New Roman" w:hAnsi="Times New Roman" w:eastAsia="宋体" w:cs="Times New Roman"/>
          <w:color w:val="auto"/>
          <w:sz w:val="24"/>
          <w:highlight w:val="none"/>
        </w:rPr>
        <w:t>环节</w:t>
      </w:r>
      <w:r>
        <w:rPr>
          <w:rFonts w:ascii="Times New Roman" w:hAnsi="Times New Roman" w:eastAsia="宋体" w:cs="Times New Roman"/>
          <w:color w:val="auto"/>
          <w:sz w:val="24"/>
          <w:highlight w:val="none"/>
        </w:rPr>
        <w:t>图</w:t>
      </w:r>
    </w:p>
    <w:p>
      <w:pPr>
        <w:keepNext w:val="0"/>
        <w:keepLines w:val="0"/>
        <w:pageBreakBefore w:val="0"/>
        <w:widowControl w:val="0"/>
        <w:kinsoku/>
        <w:wordWrap/>
        <w:overflowPunct/>
        <w:topLinePunct w:val="0"/>
        <w:autoSpaceDE/>
        <w:autoSpaceDN/>
        <w:bidi w:val="0"/>
        <w:adjustRightInd/>
        <w:snapToGrid/>
        <w:spacing w:line="500" w:lineRule="atLeast"/>
        <w:ind w:left="0" w:leftChars="0" w:firstLine="0" w:firstLineChars="0"/>
        <w:jc w:val="both"/>
        <w:textAlignment w:val="auto"/>
        <w:rPr>
          <w:rFonts w:ascii="Times New Roman" w:hAnsi="Times New Roman" w:eastAsia="宋体" w:cs="Times New Roman"/>
          <w:b w:val="0"/>
          <w:bCs/>
          <w:caps w:val="0"/>
          <w:smallCaps w:val="0"/>
          <w:color w:val="auto"/>
          <w:spacing w:val="0"/>
          <w:w w:val="99"/>
          <w:position w:val="0"/>
          <w:sz w:val="24"/>
          <w:highlight w:val="none"/>
        </w:rPr>
      </w:pPr>
      <w:r>
        <w:rPr>
          <w:color w:val="auto"/>
          <w:highlight w:val="none"/>
        </w:rPr>
        <w:drawing>
          <wp:inline distT="0" distB="0" distL="114300" distR="114300">
            <wp:extent cx="5269865" cy="6003925"/>
            <wp:effectExtent l="0" t="0" r="6985" b="1587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37"/>
                    <a:stretch>
                      <a:fillRect/>
                    </a:stretch>
                  </pic:blipFill>
                  <pic:spPr>
                    <a:xfrm>
                      <a:off x="0" y="0"/>
                      <a:ext cx="5269865" cy="60039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atLeast"/>
        <w:ind w:firstLine="0" w:firstLineChars="0"/>
        <w:jc w:val="both"/>
        <w:textAlignment w:val="auto"/>
        <w:rPr>
          <w:rFonts w:hint="eastAsia" w:ascii="Times New Roman" w:hAnsi="Times New Roman" w:eastAsia="宋体" w:cs="Times New Roman"/>
          <w:b w:val="0"/>
          <w:bCs/>
          <w:caps w:val="0"/>
          <w:smallCaps w:val="0"/>
          <w:color w:val="auto"/>
          <w:spacing w:val="0"/>
          <w:w w:val="99"/>
          <w:position w:val="0"/>
          <w:sz w:val="24"/>
          <w:highlight w:val="none"/>
          <w:lang w:eastAsia="zh-CN"/>
        </w:rPr>
      </w:pPr>
      <w:r>
        <w:rPr>
          <w:rFonts w:hint="eastAsia" w:ascii="Times New Roman" w:hAnsi="Times New Roman" w:eastAsia="宋体" w:cs="Times New Roman"/>
          <w:b w:val="0"/>
          <w:bCs/>
          <w:caps w:val="0"/>
          <w:smallCaps w:val="0"/>
          <w:color w:val="auto"/>
          <w:spacing w:val="0"/>
          <w:w w:val="99"/>
          <w:position w:val="0"/>
          <w:sz w:val="24"/>
          <w:highlight w:val="none"/>
          <w:lang w:eastAsia="zh-CN"/>
        </w:rPr>
        <w:drawing>
          <wp:inline distT="0" distB="0" distL="114300" distR="114300">
            <wp:extent cx="5294630" cy="1486535"/>
            <wp:effectExtent l="0" t="0" r="1270" b="18415"/>
            <wp:docPr id="25" name="图片 5" descr="76831f285de92b9dbe72770cf8491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76831f285de92b9dbe72770cf8491bd"/>
                    <pic:cNvPicPr>
                      <a:picLocks noChangeAspect="1"/>
                    </pic:cNvPicPr>
                  </pic:nvPicPr>
                  <pic:blipFill>
                    <a:blip r:embed="rId38"/>
                    <a:stretch>
                      <a:fillRect/>
                    </a:stretch>
                  </pic:blipFill>
                  <pic:spPr>
                    <a:xfrm>
                      <a:off x="0" y="0"/>
                      <a:ext cx="5294630" cy="14865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line="500" w:lineRule="exact"/>
        <w:ind w:firstLine="0" w:firstLineChars="0"/>
        <w:jc w:val="center"/>
        <w:textAlignment w:val="auto"/>
        <w:rPr>
          <w:rFonts w:ascii="Times New Roman" w:hAnsi="Times New Roman" w:eastAsia="宋体" w:cs="Times New Roman"/>
          <w:color w:val="auto"/>
          <w:spacing w:val="0"/>
          <w:w w:val="99"/>
          <w:position w:val="0"/>
          <w:highlight w:val="none"/>
        </w:rPr>
      </w:pPr>
      <w:r>
        <w:rPr>
          <w:rFonts w:ascii="Times New Roman" w:hAnsi="Times New Roman" w:eastAsia="宋体" w:cs="Times New Roman"/>
          <w:color w:val="auto"/>
          <w:sz w:val="24"/>
          <w:highlight w:val="none"/>
        </w:rPr>
        <w:t>图3.3</w:t>
      </w:r>
      <w:r>
        <w:rPr>
          <w:rFonts w:hint="eastAsia" w:ascii="Times New Roman" w:hAnsi="Times New Roman" w:eastAsia="宋体" w:cs="Times New Roman"/>
          <w:color w:val="auto"/>
          <w:sz w:val="24"/>
          <w:highlight w:val="none"/>
          <w:lang w:val="en-US" w:eastAsia="zh-CN"/>
        </w:rPr>
        <w:t>.1</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2  造纸工艺</w:t>
      </w:r>
      <w:r>
        <w:rPr>
          <w:rFonts w:ascii="Times New Roman" w:hAnsi="Times New Roman" w:eastAsia="宋体" w:cs="Times New Roman"/>
          <w:color w:val="auto"/>
          <w:sz w:val="24"/>
          <w:highlight w:val="none"/>
        </w:rPr>
        <w:t>及产污环节</w:t>
      </w:r>
      <w:bookmarkEnd w:id="211"/>
      <w:bookmarkEnd w:id="212"/>
      <w:bookmarkEnd w:id="213"/>
      <w:r>
        <w:rPr>
          <w:rFonts w:hint="eastAsia" w:ascii="Times New Roman" w:hAnsi="Times New Roman" w:eastAsia="宋体" w:cs="Times New Roman"/>
          <w:color w:val="auto"/>
          <w:sz w:val="24"/>
          <w:highlight w:val="none"/>
        </w:rPr>
        <w:t>图</w:t>
      </w:r>
      <w:r>
        <w:rPr>
          <w:rFonts w:ascii="Times New Roman" w:hAnsi="Times New Roman" w:eastAsia="宋体" w:cs="Times New Roman"/>
          <w:color w:val="auto"/>
          <w:spacing w:val="0"/>
          <w:w w:val="99"/>
          <w:position w:val="0"/>
          <w:highlight w:val="none"/>
        </w:rPr>
        <w:t>表</w:t>
      </w:r>
    </w:p>
    <w:p>
      <w:pPr>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br w:type="page"/>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表</w:t>
      </w:r>
      <w:r>
        <w:rPr>
          <w:rFonts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val="en-US" w:eastAsia="zh-CN"/>
        </w:rPr>
        <w:t>3.1-</w:t>
      </w:r>
      <w:r>
        <w:rPr>
          <w:rFonts w:ascii="Times New Roman" w:hAnsi="Times New Roman" w:eastAsia="宋体" w:cs="Times New Roman"/>
          <w:color w:val="auto"/>
          <w:sz w:val="24"/>
          <w:highlight w:val="none"/>
        </w:rPr>
        <w:t xml:space="preserve">1  </w:t>
      </w:r>
      <w:r>
        <w:rPr>
          <w:rFonts w:hint="eastAsia" w:ascii="Times New Roman" w:hAnsi="Times New Roman" w:eastAsia="宋体" w:cs="Times New Roman"/>
          <w:color w:val="auto"/>
          <w:sz w:val="24"/>
          <w:highlight w:val="none"/>
          <w:lang w:val="en-US" w:eastAsia="zh-CN"/>
        </w:rPr>
        <w:t xml:space="preserve">               </w:t>
      </w:r>
      <w:r>
        <w:rPr>
          <w:rFonts w:ascii="Times New Roman" w:hAnsi="Times New Roman" w:eastAsia="宋体" w:cs="Times New Roman"/>
          <w:color w:val="auto"/>
          <w:sz w:val="24"/>
          <w:highlight w:val="none"/>
        </w:rPr>
        <w:t>改建工程污染治理措施一览表</w:t>
      </w:r>
    </w:p>
    <w:tbl>
      <w:tblPr>
        <w:tblStyle w:val="24"/>
        <w:tblW w:w="90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1865"/>
        <w:gridCol w:w="2168"/>
        <w:gridCol w:w="3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12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污染源</w:t>
            </w: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项目</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主要污染物</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废水</w:t>
            </w: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生产废水</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COD、SS等</w:t>
            </w:r>
          </w:p>
        </w:tc>
        <w:tc>
          <w:tcPr>
            <w:tcW w:w="37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经污水处理站处理后回用于生产，</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污水处理站工艺为“</w:t>
            </w:r>
            <w:r>
              <w:rPr>
                <w:rFonts w:hint="eastAsia" w:ascii="Times New Roman" w:cs="Times New Roman"/>
                <w:caps w:val="0"/>
                <w:smallCaps w:val="0"/>
                <w:snapToGrid w:val="0"/>
                <w:color w:val="auto"/>
                <w:spacing w:val="0"/>
                <w:w w:val="100"/>
                <w:kern w:val="0"/>
                <w:position w:val="0"/>
                <w:sz w:val="21"/>
                <w:szCs w:val="18"/>
                <w:highlight w:val="none"/>
                <w:lang w:val="en-US" w:eastAsia="zh-CN"/>
              </w:rPr>
              <w:t>高效浅层</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气浮+A/O生化+</w:t>
            </w:r>
            <w:r>
              <w:rPr>
                <w:rFonts w:hint="eastAsia" w:ascii="Times New Roman" w:cs="Times New Roman"/>
                <w:caps w:val="0"/>
                <w:smallCaps w:val="0"/>
                <w:snapToGrid w:val="0"/>
                <w:color w:val="auto"/>
                <w:spacing w:val="0"/>
                <w:w w:val="100"/>
                <w:kern w:val="0"/>
                <w:position w:val="0"/>
                <w:sz w:val="21"/>
                <w:szCs w:val="18"/>
                <w:highlight w:val="none"/>
                <w:lang w:val="en-US" w:eastAsia="zh-CN"/>
              </w:rPr>
              <w:t>混凝</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沉淀”。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锅炉排污水</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COD、SS等</w:t>
            </w:r>
          </w:p>
        </w:tc>
        <w:tc>
          <w:tcPr>
            <w:tcW w:w="37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生活污水</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COD、SS</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、氨氮</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cs="Times New Roman"/>
                <w:caps w:val="0"/>
                <w:smallCaps w:val="0"/>
                <w:snapToGrid w:val="0"/>
                <w:color w:val="auto"/>
                <w:spacing w:val="0"/>
                <w:w w:val="100"/>
                <w:kern w:val="0"/>
                <w:position w:val="0"/>
                <w:sz w:val="21"/>
                <w:szCs w:val="18"/>
                <w:highlight w:val="none"/>
                <w:lang w:val="en-US" w:eastAsia="zh-CN"/>
              </w:rPr>
              <w:t>防渗旱厕回收还田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废气</w:t>
            </w: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锅炉烟气</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颗粒物、SO</w:t>
            </w:r>
            <w:r>
              <w:rPr>
                <w:rFonts w:hint="eastAsia" w:ascii="Times New Roman" w:hAnsi="Times New Roman" w:eastAsia="宋体" w:cs="Times New Roman"/>
                <w:caps w:val="0"/>
                <w:smallCaps w:val="0"/>
                <w:snapToGrid w:val="0"/>
                <w:color w:val="auto"/>
                <w:spacing w:val="0"/>
                <w:w w:val="100"/>
                <w:kern w:val="0"/>
                <w:position w:val="0"/>
                <w:sz w:val="21"/>
                <w:szCs w:val="18"/>
                <w:highlight w:val="none"/>
                <w:vertAlign w:val="subscript"/>
                <w:lang w:val="en-US" w:eastAsia="zh-CN"/>
              </w:rPr>
              <w:t>2</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、NO</w:t>
            </w:r>
            <w:r>
              <w:rPr>
                <w:rFonts w:hint="eastAsia" w:ascii="Times New Roman" w:hAnsi="Times New Roman" w:eastAsia="宋体" w:cs="Times New Roman"/>
                <w:caps w:val="0"/>
                <w:smallCaps w:val="0"/>
                <w:snapToGrid w:val="0"/>
                <w:color w:val="auto"/>
                <w:spacing w:val="0"/>
                <w:w w:val="100"/>
                <w:kern w:val="0"/>
                <w:position w:val="0"/>
                <w:sz w:val="21"/>
                <w:szCs w:val="18"/>
                <w:highlight w:val="none"/>
                <w:vertAlign w:val="subscript"/>
                <w:lang w:val="en-US" w:eastAsia="zh-CN"/>
              </w:rPr>
              <w:t>X</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袋式除尘+35米高烟囱排放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污水处理站废气</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氨、硫化氢</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cs="Times New Roman"/>
                <w:caps w:val="0"/>
                <w:smallCaps w:val="0"/>
                <w:snapToGrid w:val="0"/>
                <w:color w:val="auto"/>
                <w:spacing w:val="0"/>
                <w:w w:val="100"/>
                <w:kern w:val="0"/>
                <w:position w:val="0"/>
                <w:sz w:val="21"/>
                <w:szCs w:val="18"/>
                <w:highlight w:val="none"/>
                <w:lang w:val="en-US" w:eastAsia="zh-CN"/>
              </w:rPr>
              <w:t>密闭</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负压集气</w:t>
            </w:r>
            <w:r>
              <w:rPr>
                <w:rFonts w:hint="eastAsia" w:cs="Times New Roman"/>
                <w:caps w:val="0"/>
                <w:smallCaps w:val="0"/>
                <w:snapToGrid w:val="0"/>
                <w:color w:val="auto"/>
                <w:spacing w:val="0"/>
                <w:w w:val="100"/>
                <w:kern w:val="0"/>
                <w:position w:val="0"/>
                <w:sz w:val="21"/>
                <w:szCs w:val="18"/>
                <w:highlight w:val="none"/>
                <w:lang w:val="en-US" w:eastAsia="zh-CN"/>
              </w:rPr>
              <w:t>+活性炭吸附处理</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+15米高排气筒排放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噪声</w:t>
            </w:r>
          </w:p>
        </w:tc>
        <w:tc>
          <w:tcPr>
            <w:tcW w:w="186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eastAsia="宋体"/>
                <w:color w:val="auto"/>
                <w:highlight w:val="none"/>
                <w:lang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设备运行噪声</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cs="Times New Roman"/>
                <w:smallCaps w:val="0"/>
                <w:snapToGrid w:val="0"/>
                <w:color w:val="auto"/>
                <w:w w:val="99"/>
                <w:sz w:val="21"/>
                <w:highlight w:val="none"/>
                <w:lang w:val="en-US" w:eastAsia="zh-CN"/>
              </w:rPr>
              <w:t>等效连续</w:t>
            </w:r>
            <w:r>
              <w:rPr>
                <w:rFonts w:hint="eastAsia" w:ascii="Times New Roman" w:hAnsi="Times New Roman" w:eastAsia="宋体" w:cs="Times New Roman"/>
                <w:smallCaps w:val="0"/>
                <w:snapToGrid w:val="0"/>
                <w:color w:val="auto"/>
                <w:w w:val="99"/>
                <w:sz w:val="21"/>
                <w:highlight w:val="none"/>
              </w:rPr>
              <w:t>A声级</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基础</w:t>
            </w:r>
            <w:r>
              <w:rPr>
                <w:rFonts w:hint="eastAsia" w:ascii="Times New Roman" w:cs="Times New Roman"/>
                <w:caps w:val="0"/>
                <w:smallCaps w:val="0"/>
                <w:snapToGrid w:val="0"/>
                <w:color w:val="auto"/>
                <w:spacing w:val="0"/>
                <w:w w:val="100"/>
                <w:kern w:val="0"/>
                <w:position w:val="0"/>
                <w:sz w:val="21"/>
                <w:szCs w:val="18"/>
                <w:highlight w:val="none"/>
                <w:lang w:val="en-US" w:eastAsia="zh-CN"/>
              </w:rPr>
              <w:t>减振</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，厂房隔声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固废</w:t>
            </w: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污水处理站污泥</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污泥</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集中收集，综合外售处理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杂质</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砂石、木纤维等</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集中收集，综合外售处理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废离子交换树脂</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废树脂</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由生产厂家上门更换时回收处置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燃料灰渣</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灰渣</w:t>
            </w:r>
          </w:p>
        </w:tc>
        <w:tc>
          <w:tcPr>
            <w:tcW w:w="37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集中收集，综合外售处理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废机油</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cs="Times New Roman"/>
                <w:caps w:val="0"/>
                <w:smallCaps w:val="0"/>
                <w:snapToGrid w:val="0"/>
                <w:color w:val="auto"/>
                <w:spacing w:val="0"/>
                <w:w w:val="100"/>
                <w:kern w:val="0"/>
                <w:position w:val="0"/>
                <w:sz w:val="21"/>
                <w:szCs w:val="18"/>
                <w:highlight w:val="none"/>
                <w:lang w:val="en-US" w:eastAsia="zh-CN"/>
              </w:rPr>
              <w:t>废机油</w:t>
            </w:r>
          </w:p>
        </w:tc>
        <w:tc>
          <w:tcPr>
            <w:tcW w:w="37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贮存在危废间集中收集，定期委托有资质的单位处理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p>
        </w:tc>
        <w:tc>
          <w:tcPr>
            <w:tcW w:w="18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废</w:t>
            </w:r>
            <w:r>
              <w:rPr>
                <w:rFonts w:hint="eastAsia" w:ascii="Times New Roman" w:cs="Times New Roman"/>
                <w:caps w:val="0"/>
                <w:smallCaps w:val="0"/>
                <w:snapToGrid w:val="0"/>
                <w:color w:val="auto"/>
                <w:spacing w:val="0"/>
                <w:w w:val="100"/>
                <w:kern w:val="0"/>
                <w:position w:val="0"/>
                <w:sz w:val="21"/>
                <w:szCs w:val="18"/>
                <w:highlight w:val="none"/>
                <w:lang w:val="en-US" w:eastAsia="zh-CN"/>
              </w:rPr>
              <w:t>活性炭</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废</w:t>
            </w:r>
            <w:r>
              <w:rPr>
                <w:rFonts w:hint="eastAsia" w:ascii="Times New Roman" w:cs="Times New Roman"/>
                <w:caps w:val="0"/>
                <w:smallCaps w:val="0"/>
                <w:snapToGrid w:val="0"/>
                <w:color w:val="auto"/>
                <w:spacing w:val="0"/>
                <w:w w:val="100"/>
                <w:kern w:val="0"/>
                <w:position w:val="0"/>
                <w:sz w:val="21"/>
                <w:szCs w:val="18"/>
                <w:highlight w:val="none"/>
                <w:lang w:val="en-US" w:eastAsia="zh-CN"/>
              </w:rPr>
              <w:t>活性炭</w:t>
            </w:r>
          </w:p>
        </w:tc>
        <w:tc>
          <w:tcPr>
            <w:tcW w:w="37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12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t>雨污管网</w:t>
            </w:r>
          </w:p>
        </w:tc>
        <w:tc>
          <w:tcPr>
            <w:tcW w:w="778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cs="Times New Roman"/>
                <w:caps w:val="0"/>
                <w:smallCaps w:val="0"/>
                <w:snapToGrid w:val="0"/>
                <w:color w:val="auto"/>
                <w:spacing w:val="0"/>
                <w:w w:val="100"/>
                <w:kern w:val="0"/>
                <w:position w:val="0"/>
                <w:sz w:val="21"/>
                <w:szCs w:val="18"/>
                <w:highlight w:val="none"/>
                <w:lang w:val="zh-CN" w:eastAsia="zh-CN"/>
              </w:rPr>
              <w:t>厂区雨污分流，生产污水进入污水处理站处理后全部回用于生产，生活污水采取防渗旱厕回收还田，雨水依托场地坡度排放至场外雨水边沟自然排放。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2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环境风险</w:t>
            </w:r>
          </w:p>
        </w:tc>
        <w:tc>
          <w:tcPr>
            <w:tcW w:w="778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事故应急池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2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环境管理</w:t>
            </w:r>
          </w:p>
        </w:tc>
        <w:tc>
          <w:tcPr>
            <w:tcW w:w="778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zh-CN"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按照《制浆造纸行业清洁生产评价指标体系》建立完善的环境管理制度</w:t>
            </w:r>
          </w:p>
        </w:tc>
      </w:tr>
    </w:tbl>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14" w:name="_bookmark56"/>
      <w:bookmarkEnd w:id="214"/>
      <w:bookmarkStart w:id="215" w:name="_bookmark56"/>
      <w:bookmarkEnd w:id="215"/>
      <w:bookmarkStart w:id="216" w:name="_Toc26931"/>
      <w:r>
        <w:rPr>
          <w:rFonts w:hint="eastAsia" w:ascii="Times New Roman" w:hAnsi="Times New Roman" w:eastAsia="宋体" w:cs="Times New Roman"/>
          <w:bCs w:val="0"/>
          <w:color w:val="auto"/>
          <w:kern w:val="2"/>
          <w:szCs w:val="20"/>
          <w:highlight w:val="none"/>
          <w:lang w:val="en-US" w:eastAsia="zh-CN" w:bidi="ar-SA"/>
        </w:rPr>
        <w:t>3.4</w:t>
      </w:r>
      <w:r>
        <w:rPr>
          <w:rFonts w:hint="eastAsia" w:ascii="Times New Roman" w:hAnsi="Times New Roman" w:eastAsia="宋体" w:cs="Times New Roman"/>
          <w:bCs w:val="0"/>
          <w:color w:val="auto"/>
          <w:kern w:val="2"/>
          <w:szCs w:val="20"/>
          <w:highlight w:val="none"/>
          <w:lang w:val="en-US" w:bidi="ar-SA"/>
        </w:rPr>
        <w:t>污染源分析</w:t>
      </w:r>
      <w:bookmarkEnd w:id="216"/>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17" w:name="_Toc3447"/>
      <w:bookmarkStart w:id="218" w:name="_Toc5334"/>
      <w:bookmarkStart w:id="219" w:name="_Toc29886"/>
      <w:r>
        <w:rPr>
          <w:rFonts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4.1</w:t>
      </w:r>
      <w:r>
        <w:rPr>
          <w:rFonts w:ascii="Times New Roman" w:hAnsi="Times New Roman" w:eastAsia="宋体" w:cs="Times New Roman"/>
          <w:bCs w:val="0"/>
          <w:color w:val="auto"/>
          <w:szCs w:val="20"/>
          <w:highlight w:val="none"/>
          <w:lang w:val="en-US" w:bidi="ar-SA"/>
        </w:rPr>
        <w:t>施工期污染源分析</w:t>
      </w:r>
      <w:bookmarkEnd w:id="217"/>
      <w:bookmarkEnd w:id="218"/>
      <w:bookmarkEnd w:id="219"/>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本项目位于</w:t>
      </w:r>
      <w:r>
        <w:rPr>
          <w:rFonts w:hint="eastAsia" w:cs="Times New Roman"/>
          <w:color w:val="auto"/>
          <w:sz w:val="24"/>
          <w:highlight w:val="none"/>
          <w:lang w:val="en-US" w:eastAsia="zh-CN"/>
        </w:rPr>
        <w:t>黑龙江大同经济开发区纸业园区</w:t>
      </w:r>
      <w:r>
        <w:rPr>
          <w:rFonts w:hint="eastAsia" w:ascii="Times New Roman" w:hAnsi="Times New Roman" w:eastAsia="宋体" w:cs="Times New Roman"/>
          <w:color w:val="auto"/>
          <w:sz w:val="24"/>
          <w:highlight w:val="none"/>
          <w:lang w:val="en-US" w:eastAsia="zh-CN"/>
        </w:rPr>
        <w:t>，利用本项目原有厂址进行改建，本次施工内容主要为</w:t>
      </w:r>
      <w:r>
        <w:rPr>
          <w:rFonts w:hint="eastAsia" w:ascii="Times New Roman" w:cs="Times New Roman"/>
          <w:color w:val="auto"/>
          <w:sz w:val="24"/>
          <w:highlight w:val="none"/>
          <w:lang w:val="en-US" w:eastAsia="zh-CN"/>
        </w:rPr>
        <w:t>设备基础施工及</w:t>
      </w:r>
      <w:r>
        <w:rPr>
          <w:rFonts w:hint="eastAsia" w:ascii="Times New Roman" w:hAnsi="Times New Roman" w:eastAsia="宋体" w:cs="Times New Roman"/>
          <w:color w:val="auto"/>
          <w:sz w:val="24"/>
          <w:highlight w:val="none"/>
          <w:lang w:val="en-US" w:eastAsia="zh-CN"/>
        </w:rPr>
        <w:t>设备的运输</w:t>
      </w:r>
      <w:r>
        <w:rPr>
          <w:rFonts w:hint="eastAsia" w:ascii="Times New Roman" w:cs="Times New Roman"/>
          <w:color w:val="auto"/>
          <w:sz w:val="24"/>
          <w:highlight w:val="none"/>
          <w:lang w:val="en-US" w:eastAsia="zh-CN"/>
        </w:rPr>
        <w:t>、拆卸及</w:t>
      </w:r>
      <w:r>
        <w:rPr>
          <w:rFonts w:hint="eastAsia" w:ascii="Times New Roman" w:hAnsi="Times New Roman" w:eastAsia="宋体" w:cs="Times New Roman"/>
          <w:color w:val="auto"/>
          <w:sz w:val="24"/>
          <w:highlight w:val="none"/>
          <w:lang w:val="en-US" w:eastAsia="zh-CN"/>
        </w:rPr>
        <w:t>安装。</w:t>
      </w:r>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bidi="ar-SA"/>
        </w:rPr>
      </w:pPr>
      <w:bookmarkStart w:id="220" w:name="_Toc24876"/>
      <w:bookmarkStart w:id="221" w:name="_Toc476129210"/>
      <w:bookmarkStart w:id="222" w:name="_Toc30960"/>
      <w:bookmarkStart w:id="223" w:name="_Toc29227"/>
      <w:bookmarkStart w:id="224" w:name="_Toc477358379"/>
      <w:r>
        <w:rPr>
          <w:rFonts w:hint="eastAsia" w:ascii="Times New Roman" w:hAnsi="Times New Roman" w:eastAsia="宋体" w:cs="Times New Roman"/>
          <w:b/>
          <w:bCs/>
          <w:color w:val="auto"/>
          <w:szCs w:val="20"/>
          <w:highlight w:val="none"/>
          <w:lang w:val="en-US" w:eastAsia="zh-CN" w:bidi="ar-SA"/>
        </w:rPr>
        <w:t>3.4.1.1</w:t>
      </w:r>
      <w:r>
        <w:rPr>
          <w:rFonts w:hint="eastAsia" w:ascii="Times New Roman" w:hAnsi="Times New Roman" w:eastAsia="宋体" w:cs="Times New Roman"/>
          <w:b/>
          <w:bCs/>
          <w:color w:val="auto"/>
          <w:szCs w:val="20"/>
          <w:highlight w:val="none"/>
          <w:lang w:val="en-US" w:bidi="ar-SA"/>
        </w:rPr>
        <w:t>施工废水</w:t>
      </w:r>
      <w:bookmarkEnd w:id="220"/>
      <w:bookmarkEnd w:id="221"/>
      <w:bookmarkEnd w:id="222"/>
      <w:bookmarkEnd w:id="223"/>
      <w:bookmarkEnd w:id="224"/>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当建设施工队伍进入施工现场进行砂、石子冲洗和搅拌浇注混凝土等施工作业过程中将会有施工泥浆废水产生，产生量较少，污染物主要为SS，经沉淀后回用于厂区绿化。生活污水</w:t>
      </w:r>
      <w:r>
        <w:rPr>
          <w:rFonts w:hint="eastAsia" w:ascii="Times New Roman" w:hAnsi="Times New Roman" w:eastAsia="宋体" w:cs="Times New Roman"/>
          <w:color w:val="auto"/>
          <w:sz w:val="24"/>
          <w:highlight w:val="none"/>
          <w:lang w:val="zh-CN" w:eastAsia="zh-CN"/>
        </w:rPr>
        <w:t>采取</w:t>
      </w:r>
      <w:r>
        <w:rPr>
          <w:rFonts w:hint="eastAsia" w:cs="Times New Roman"/>
          <w:color w:val="auto"/>
          <w:sz w:val="24"/>
          <w:highlight w:val="none"/>
          <w:lang w:val="zh-CN" w:eastAsia="zh-CN"/>
        </w:rPr>
        <w:t>防渗旱厕</w:t>
      </w:r>
      <w:r>
        <w:rPr>
          <w:rFonts w:hint="eastAsia" w:ascii="Times New Roman" w:hAnsi="Times New Roman" w:eastAsia="宋体" w:cs="Times New Roman"/>
          <w:color w:val="auto"/>
          <w:sz w:val="24"/>
          <w:highlight w:val="none"/>
          <w:lang w:val="zh-CN" w:eastAsia="zh-CN"/>
        </w:rPr>
        <w:t>回收还田</w:t>
      </w:r>
      <w:r>
        <w:rPr>
          <w:rFonts w:hint="eastAsia" w:ascii="Times New Roman" w:hAnsi="Times New Roman" w:eastAsia="宋体" w:cs="Times New Roman"/>
          <w:color w:val="auto"/>
          <w:sz w:val="24"/>
          <w:highlight w:val="none"/>
          <w:lang w:val="en-US" w:eastAsia="zh-CN"/>
        </w:rPr>
        <w:t>。</w:t>
      </w:r>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bidi="ar-SA"/>
        </w:rPr>
      </w:pPr>
      <w:r>
        <w:rPr>
          <w:rFonts w:hint="eastAsia" w:ascii="Times New Roman" w:hAnsi="Times New Roman" w:eastAsia="宋体" w:cs="Times New Roman"/>
          <w:b/>
          <w:bCs/>
          <w:color w:val="auto"/>
          <w:szCs w:val="20"/>
          <w:highlight w:val="none"/>
          <w:lang w:val="en-US" w:bidi="ar-SA"/>
        </w:rPr>
        <w:t>3.</w:t>
      </w:r>
      <w:r>
        <w:rPr>
          <w:rFonts w:hint="eastAsia" w:ascii="Times New Roman" w:hAnsi="Times New Roman" w:eastAsia="宋体" w:cs="Times New Roman"/>
          <w:b/>
          <w:bCs/>
          <w:color w:val="auto"/>
          <w:szCs w:val="20"/>
          <w:highlight w:val="none"/>
          <w:lang w:val="en-US" w:eastAsia="zh-CN" w:bidi="ar-SA"/>
        </w:rPr>
        <w:t>4.1.2</w:t>
      </w:r>
      <w:r>
        <w:rPr>
          <w:rFonts w:hint="eastAsia" w:ascii="Times New Roman" w:hAnsi="Times New Roman" w:eastAsia="宋体" w:cs="Times New Roman"/>
          <w:b/>
          <w:bCs/>
          <w:color w:val="auto"/>
          <w:szCs w:val="20"/>
          <w:highlight w:val="none"/>
          <w:lang w:val="en-US" w:bidi="ar-SA"/>
        </w:rPr>
        <w:t>施工扬尘</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施工期的大气污染物主要是地面扬尘污染，污染因子为TSP。</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施工产生的地面扬尘主要来自三个方面，一是来自土方的挖掘扬尘及现场堆放扬尘；二是来自建筑材料包括白灰、水泥、沙子等搬运和搅拌扬尘；三是来自来往运输车辆引起的二次扬尘。</w:t>
      </w:r>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bidi="ar-SA"/>
        </w:rPr>
      </w:pPr>
      <w:r>
        <w:rPr>
          <w:rFonts w:hint="eastAsia" w:ascii="Times New Roman" w:hAnsi="Times New Roman" w:eastAsia="宋体" w:cs="Times New Roman"/>
          <w:b/>
          <w:bCs/>
          <w:color w:val="auto"/>
          <w:szCs w:val="20"/>
          <w:highlight w:val="none"/>
          <w:lang w:val="en-US" w:bidi="ar-SA"/>
        </w:rPr>
        <w:t>3</w:t>
      </w:r>
      <w:r>
        <w:rPr>
          <w:rFonts w:hint="eastAsia" w:ascii="Times New Roman" w:hAnsi="Times New Roman" w:eastAsia="宋体" w:cs="Times New Roman"/>
          <w:b/>
          <w:bCs/>
          <w:color w:val="auto"/>
          <w:szCs w:val="20"/>
          <w:highlight w:val="none"/>
          <w:lang w:val="en-US" w:eastAsia="zh-CN" w:bidi="ar-SA"/>
        </w:rPr>
        <w:t>.4.1.3</w:t>
      </w:r>
      <w:r>
        <w:rPr>
          <w:rFonts w:hint="eastAsia" w:ascii="Times New Roman" w:hAnsi="Times New Roman" w:eastAsia="宋体" w:cs="Times New Roman"/>
          <w:b/>
          <w:bCs/>
          <w:color w:val="auto"/>
          <w:szCs w:val="20"/>
          <w:highlight w:val="none"/>
          <w:lang w:val="en-US" w:bidi="ar-SA"/>
        </w:rPr>
        <w:t>施工噪声</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施工期的噪声主要可分为机械噪声、施工作业噪声和施工车辆噪声等。主要施工机械的噪声源强见表3.4.1.3-1。</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施工作业噪声各个阶段的主要噪声源都不大一样，各个阶段（土石方阶段、基础阶段、结构阶段和装修阶段）噪声源特征值见表3.4.1.3-2。</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表3.4.1.3-1             主要施工机械设备噪声一览表</w:t>
      </w:r>
    </w:p>
    <w:tbl>
      <w:tblPr>
        <w:tblStyle w:val="23"/>
        <w:tblW w:w="88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876"/>
        <w:gridCol w:w="2856"/>
        <w:gridCol w:w="3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10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序号</w:t>
            </w:r>
          </w:p>
        </w:tc>
        <w:tc>
          <w:tcPr>
            <w:tcW w:w="187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施工机械</w:t>
            </w:r>
          </w:p>
        </w:tc>
        <w:tc>
          <w:tcPr>
            <w:tcW w:w="28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测量声级[dB（A）]</w:t>
            </w:r>
          </w:p>
        </w:tc>
        <w:tc>
          <w:tcPr>
            <w:tcW w:w="30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测量距离（m）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10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187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铲土机</w:t>
            </w:r>
          </w:p>
        </w:tc>
        <w:tc>
          <w:tcPr>
            <w:tcW w:w="28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75</w:t>
            </w:r>
          </w:p>
        </w:tc>
        <w:tc>
          <w:tcPr>
            <w:tcW w:w="30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10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c>
          <w:tcPr>
            <w:tcW w:w="187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自卸卡车</w:t>
            </w:r>
          </w:p>
        </w:tc>
        <w:tc>
          <w:tcPr>
            <w:tcW w:w="28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70</w:t>
            </w:r>
          </w:p>
        </w:tc>
        <w:tc>
          <w:tcPr>
            <w:tcW w:w="304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表3.4.1.3-2                施工各阶段主要设备噪声情况</w:t>
      </w:r>
    </w:p>
    <w:tbl>
      <w:tblPr>
        <w:tblStyle w:val="23"/>
        <w:tblW w:w="88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5"/>
        <w:gridCol w:w="2947"/>
        <w:gridCol w:w="29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884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土石方阶段主要设备噪声情况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设备名称</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声级，dB（A）</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翻斗机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85</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推土机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86</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装载机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90</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884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基础施工阶段主要设备噪声情况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设备名称</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声级，dB（A）</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平地机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86</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884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结构施工阶段主要设备噪声情况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设备名称</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声级，dB（A）</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振捣棒</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电锯</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103</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884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装修阶段主要设备噪声情况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设备名称</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声级，dB（A）</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砂轮机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91～105</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木工圆锯机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93～101</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电钻</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62～82</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94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切割机</w:t>
            </w:r>
          </w:p>
        </w:tc>
        <w:tc>
          <w:tcPr>
            <w:tcW w:w="294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91～95</w:t>
            </w:r>
          </w:p>
        </w:tc>
        <w:tc>
          <w:tcPr>
            <w:tcW w:w="294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r>
    </w:tbl>
    <w:p>
      <w:pPr>
        <w:keepNext/>
        <w:keepLines/>
        <w:numPr>
          <w:ilvl w:val="0"/>
          <w:numId w:val="0"/>
        </w:numPr>
        <w:autoSpaceDE/>
        <w:autoSpaceDN/>
        <w:bidi w:val="0"/>
        <w:spacing w:before="0" w:after="0" w:line="500" w:lineRule="exact"/>
        <w:ind w:right="0"/>
        <w:jc w:val="both"/>
        <w:outlineLvl w:val="9"/>
        <w:rPr>
          <w:rFonts w:hint="default"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3.4.1.4</w:t>
      </w:r>
      <w:r>
        <w:rPr>
          <w:rFonts w:hint="eastAsia" w:ascii="Times New Roman" w:cs="Times New Roman"/>
          <w:b/>
          <w:bCs/>
          <w:color w:val="auto"/>
          <w:szCs w:val="20"/>
          <w:highlight w:val="none"/>
          <w:lang w:val="en-US" w:eastAsia="zh-CN" w:bidi="ar-SA"/>
        </w:rPr>
        <w:t>施工期固体废物</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施工期固体废物包括：</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①施工建设过程中产生的废建筑材料，主要成分为：土沙石、水泥、废金属等，产生量较少。</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②施工人员产生的生活垃圾按每人每天0.25kg计算，施工人员约20人，则每天产生生活垃圾5kg，整个施工期施工人员生活垃圾产生量约为0.3t。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25" w:name="_Toc16736"/>
      <w:bookmarkStart w:id="226" w:name="_Toc30669"/>
      <w:bookmarkStart w:id="227" w:name="_Toc26198"/>
      <w:r>
        <w:rPr>
          <w:rFonts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4.2运行期</w:t>
      </w:r>
      <w:r>
        <w:rPr>
          <w:rFonts w:ascii="Times New Roman" w:hAnsi="Times New Roman" w:eastAsia="宋体" w:cs="Times New Roman"/>
          <w:bCs w:val="0"/>
          <w:color w:val="auto"/>
          <w:szCs w:val="20"/>
          <w:highlight w:val="none"/>
          <w:lang w:val="en-US" w:bidi="ar-SA"/>
        </w:rPr>
        <w:t>污染源分析</w:t>
      </w:r>
      <w:bookmarkEnd w:id="225"/>
      <w:bookmarkEnd w:id="226"/>
      <w:bookmarkEnd w:id="227"/>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bidi="ar-SA"/>
        </w:rPr>
      </w:pPr>
      <w:r>
        <w:rPr>
          <w:rFonts w:hint="eastAsia" w:ascii="Times New Roman" w:hAnsi="Times New Roman" w:eastAsia="宋体" w:cs="Times New Roman"/>
          <w:b/>
          <w:bCs/>
          <w:color w:val="auto"/>
          <w:szCs w:val="20"/>
          <w:highlight w:val="none"/>
          <w:lang w:val="en-US" w:eastAsia="zh-CN" w:bidi="ar-SA"/>
        </w:rPr>
        <w:t>3.4.2.1</w:t>
      </w:r>
      <w:r>
        <w:rPr>
          <w:rFonts w:hint="eastAsia" w:ascii="Times New Roman" w:hAnsi="Times New Roman" w:eastAsia="宋体" w:cs="Times New Roman"/>
          <w:b/>
          <w:bCs/>
          <w:color w:val="auto"/>
          <w:szCs w:val="20"/>
          <w:highlight w:val="none"/>
          <w:lang w:val="en-US" w:bidi="ar-SA"/>
        </w:rPr>
        <w:t>废水</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（1）生产废水</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eastAsia="zh-CN"/>
        </w:rPr>
        <w:t>生产工艺废水经污水处理站处理后循环利用，水循环利用率为</w:t>
      </w:r>
      <w:r>
        <w:rPr>
          <w:rFonts w:hint="eastAsia" w:cs="Times New Roman"/>
          <w:color w:val="auto"/>
          <w:sz w:val="24"/>
          <w:highlight w:val="none"/>
          <w:lang w:val="en-US" w:eastAsia="zh-CN"/>
        </w:rPr>
        <w:t>97%，则需要</w:t>
      </w:r>
      <w:r>
        <w:rPr>
          <w:rFonts w:hint="eastAsia" w:cs="Times New Roman"/>
          <w:color w:val="auto"/>
          <w:sz w:val="24"/>
          <w:highlight w:val="none"/>
          <w:lang w:eastAsia="zh-CN"/>
        </w:rPr>
        <w:t>补充用水量约为</w:t>
      </w:r>
      <w:r>
        <w:rPr>
          <w:rFonts w:hint="eastAsia" w:cs="Times New Roman"/>
          <w:color w:val="auto"/>
          <w:sz w:val="24"/>
          <w:highlight w:val="none"/>
          <w:lang w:val="en-US" w:eastAsia="zh-CN"/>
        </w:rPr>
        <w:t>27.27t/d（9000t/a），其中，补充</w:t>
      </w:r>
      <w:r>
        <w:rPr>
          <w:rFonts w:hint="eastAsia" w:cs="Times New Roman"/>
          <w:color w:val="auto"/>
          <w:sz w:val="24"/>
          <w:highlight w:val="none"/>
          <w:lang w:eastAsia="zh-CN"/>
        </w:rPr>
        <w:t>新鲜水</w:t>
      </w:r>
      <w:r>
        <w:rPr>
          <w:rFonts w:hint="eastAsia" w:cs="Times New Roman"/>
          <w:color w:val="auto"/>
          <w:sz w:val="24"/>
          <w:highlight w:val="none"/>
          <w:lang w:val="en-US" w:eastAsia="zh-CN"/>
        </w:rPr>
        <w:t>量22.77t/d（7514.1t/a），锅炉排污水4.5</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1482.74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本项目制浆废水源强参照《制浆造纸废水治理工程技术规范》（HJ2011-2012）</w:t>
      </w:r>
      <w:r>
        <w:rPr>
          <w:rFonts w:hint="eastAsia" w:ascii="Times New Roman" w:cs="Times New Roman"/>
          <w:color w:val="auto"/>
          <w:sz w:val="24"/>
          <w:highlight w:val="none"/>
          <w:lang w:val="en-US" w:eastAsia="zh-CN"/>
        </w:rPr>
        <w:t>表1，</w:t>
      </w:r>
      <w:r>
        <w:rPr>
          <w:rFonts w:hint="eastAsia" w:ascii="Times New Roman" w:hAnsi="Times New Roman" w:eastAsia="宋体" w:cs="Times New Roman"/>
          <w:color w:val="auto"/>
          <w:sz w:val="24"/>
          <w:highlight w:val="none"/>
          <w:lang w:val="en-US" w:eastAsia="zh-CN"/>
        </w:rPr>
        <w:t>表3.4.2.1-1</w:t>
      </w:r>
      <w:r>
        <w:rPr>
          <w:rFonts w:hint="eastAsia" w:ascii="Times New Roman" w:cs="Times New Roman"/>
          <w:color w:val="auto"/>
          <w:sz w:val="24"/>
          <w:highlight w:val="none"/>
          <w:lang w:val="en-US" w:eastAsia="zh-CN"/>
        </w:rPr>
        <w:t>为</w:t>
      </w:r>
      <w:r>
        <w:rPr>
          <w:rFonts w:hint="eastAsia" w:ascii="Times New Roman" w:hAnsi="Times New Roman" w:eastAsia="宋体" w:cs="Times New Roman"/>
          <w:color w:val="auto"/>
          <w:sz w:val="24"/>
          <w:highlight w:val="none"/>
          <w:lang w:val="en-US" w:eastAsia="zh-CN"/>
        </w:rPr>
        <w:t>典型制浆造纸废水水质范围。</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表3.4.2.1-1</w:t>
      </w:r>
      <w:r>
        <w:rPr>
          <w:rFonts w:hint="eastAsia" w:ascii="Times New Roman"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val="en-US" w:eastAsia="zh-CN"/>
        </w:rPr>
        <w:t>典型制浆造纸废水水质范围（摘录）</w:t>
      </w:r>
      <w:r>
        <w:rPr>
          <w:rFonts w:hint="eastAsia" w:ascii="Times New Roman" w:hAnsi="Times New Roman" w:eastAsia="宋体" w:cs="Times New Roman"/>
          <w:color w:val="auto"/>
          <w:sz w:val="24"/>
          <w:highlight w:val="none"/>
          <w:lang w:val="en-US" w:eastAsia="zh-CN"/>
        </w:rPr>
        <w:tab/>
      </w:r>
      <w:r>
        <w:rPr>
          <w:rFonts w:hint="eastAsia" w:ascii="Times New Roman" w:hAnsi="Times New Roman" w:eastAsia="宋体" w:cs="Times New Roman"/>
          <w:color w:val="auto"/>
          <w:sz w:val="24"/>
          <w:highlight w:val="none"/>
          <w:lang w:val="en-US" w:eastAsia="zh-CN"/>
        </w:rPr>
        <w:t>单位：mg/L</w:t>
      </w:r>
    </w:p>
    <w:tbl>
      <w:tblPr>
        <w:tblStyle w:val="23"/>
        <w:tblW w:w="8957"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206"/>
        <w:gridCol w:w="1032"/>
        <w:gridCol w:w="1215"/>
        <w:gridCol w:w="1190"/>
        <w:gridCol w:w="1190"/>
        <w:gridCol w:w="1190"/>
        <w:gridCol w:w="1035"/>
        <w:gridCol w:w="89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223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废水种类</w:t>
            </w:r>
          </w:p>
        </w:tc>
        <w:tc>
          <w:tcPr>
            <w:tcW w:w="12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CODcr</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BOD5</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SS</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氨氮</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总氮</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总磷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23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废</w:t>
            </w:r>
            <w:r>
              <w:rPr>
                <w:rFonts w:hint="eastAsia" w:ascii="Times New Roman" w:hAnsi="Times New Roman" w:eastAsia="宋体" w:cs="Times New Roman"/>
                <w:color w:val="auto"/>
                <w:spacing w:val="0"/>
                <w:w w:val="100"/>
                <w:position w:val="0"/>
                <w:sz w:val="21"/>
                <w:szCs w:val="21"/>
                <w:highlight w:val="none"/>
                <w:lang w:val="en-US" w:eastAsia="zh-CN"/>
              </w:rPr>
              <w:t>纸浆</w:t>
            </w:r>
          </w:p>
        </w:tc>
        <w:tc>
          <w:tcPr>
            <w:tcW w:w="12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1500-5000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550-1500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800-1800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4-15</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5-20</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23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造纸废水</w:t>
            </w:r>
          </w:p>
        </w:tc>
        <w:tc>
          <w:tcPr>
            <w:tcW w:w="12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500-1800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180-800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250-1300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1-3</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2-4</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1" w:hRule="atLeast"/>
        </w:trPr>
        <w:tc>
          <w:tcPr>
            <w:tcW w:w="12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本项目取值</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制浆废水</w:t>
            </w:r>
          </w:p>
        </w:tc>
        <w:tc>
          <w:tcPr>
            <w:tcW w:w="12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2800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1500</w:t>
            </w:r>
          </w:p>
        </w:tc>
        <w:tc>
          <w:tcPr>
            <w:tcW w:w="11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w:t>
            </w:r>
          </w:p>
        </w:tc>
        <w:tc>
          <w:tcPr>
            <w:tcW w:w="8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0.5</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项目生产废水通过污水处理站处理后全部回用于生产不外排。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（2）生活污水</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本项目共员工</w:t>
      </w:r>
      <w:r>
        <w:rPr>
          <w:rFonts w:hint="eastAsia" w:ascii="Times New Roman" w:hAnsi="Times New Roman" w:eastAsia="宋体" w:cs="Times New Roman"/>
          <w:color w:val="auto"/>
          <w:sz w:val="24"/>
          <w:highlight w:val="none"/>
          <w:lang w:val="en-US" w:eastAsia="zh-CN"/>
        </w:rPr>
        <w:t>15</w:t>
      </w:r>
      <w:r>
        <w:rPr>
          <w:rFonts w:ascii="Times New Roman" w:hAnsi="Times New Roman" w:eastAsia="宋体" w:cs="Times New Roman"/>
          <w:color w:val="auto"/>
          <w:sz w:val="24"/>
          <w:highlight w:val="none"/>
        </w:rPr>
        <w:t>人，</w:t>
      </w:r>
      <w:r>
        <w:rPr>
          <w:rFonts w:hint="eastAsia" w:cs="Times New Roman"/>
          <w:color w:val="auto"/>
          <w:sz w:val="24"/>
          <w:highlight w:val="none"/>
          <w:lang w:eastAsia="zh-CN"/>
        </w:rPr>
        <w:t>厂区不设</w:t>
      </w:r>
      <w:r>
        <w:rPr>
          <w:rFonts w:hint="eastAsia" w:cs="Times New Roman"/>
          <w:color w:val="auto"/>
          <w:sz w:val="24"/>
          <w:highlight w:val="none"/>
          <w:lang w:val="en-US" w:eastAsia="zh-CN"/>
        </w:rPr>
        <w:t>食堂、宿舍，办公楼内无上下水，职工办公等均为桶装水，参照</w:t>
      </w:r>
      <w:r>
        <w:rPr>
          <w:rFonts w:ascii="Times New Roman" w:hAnsi="Times New Roman" w:eastAsia="宋体" w:cs="Times New Roman"/>
          <w:color w:val="auto"/>
          <w:sz w:val="24"/>
          <w:highlight w:val="none"/>
        </w:rPr>
        <w:t>《黑龙江省地方标准 用水定额》</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DB23/T727-</w:t>
      </w:r>
      <w:r>
        <w:rPr>
          <w:rFonts w:hint="eastAsia" w:ascii="Times New Roman" w:hAnsi="Times New Roman" w:eastAsia="宋体" w:cs="Times New Roman"/>
          <w:color w:val="auto"/>
          <w:sz w:val="24"/>
          <w:highlight w:val="none"/>
          <w:lang w:val="en-US" w:eastAsia="zh-CN"/>
        </w:rPr>
        <w:t>2021</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中表 G.9 公共管理、社会保障和社会组织用水定额</w:t>
      </w:r>
      <w:r>
        <w:rPr>
          <w:rFonts w:hint="eastAsia" w:cs="Times New Roman"/>
          <w:color w:val="auto"/>
          <w:sz w:val="24"/>
          <w:highlight w:val="none"/>
          <w:lang w:val="en-US" w:eastAsia="zh-CN"/>
        </w:rPr>
        <w:t>-</w:t>
      </w:r>
      <w:r>
        <w:rPr>
          <w:rFonts w:hint="eastAsia" w:cs="Times New Roman"/>
          <w:color w:val="auto"/>
          <w:sz w:val="24"/>
          <w:highlight w:val="none"/>
          <w:lang w:eastAsia="zh-CN"/>
        </w:rPr>
        <w:t>国家行政机关先进值</w:t>
      </w:r>
      <w:r>
        <w:rPr>
          <w:rFonts w:hint="eastAsia" w:cs="Times New Roman"/>
          <w:color w:val="auto"/>
          <w:sz w:val="24"/>
          <w:highlight w:val="none"/>
          <w:lang w:val="en-US" w:eastAsia="zh-CN"/>
        </w:rPr>
        <w:t>10</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人.a标准</w:t>
      </w:r>
      <w:r>
        <w:rPr>
          <w:rFonts w:ascii="Times New Roman" w:hAnsi="Times New Roman" w:eastAsia="宋体" w:cs="Times New Roman"/>
          <w:color w:val="auto"/>
          <w:sz w:val="24"/>
          <w:highlight w:val="none"/>
        </w:rPr>
        <w:t>计算，</w:t>
      </w:r>
      <w:r>
        <w:rPr>
          <w:rFonts w:hint="eastAsia" w:cs="Times New Roman"/>
          <w:color w:val="auto"/>
          <w:sz w:val="24"/>
          <w:highlight w:val="none"/>
          <w:lang w:eastAsia="zh-CN"/>
        </w:rPr>
        <w:t>本项目生活</w:t>
      </w:r>
      <w:r>
        <w:rPr>
          <w:rFonts w:ascii="Times New Roman" w:hAnsi="Times New Roman" w:eastAsia="宋体" w:cs="Times New Roman"/>
          <w:color w:val="auto"/>
          <w:sz w:val="24"/>
          <w:highlight w:val="none"/>
        </w:rPr>
        <w:t>用水量为</w:t>
      </w:r>
      <w:r>
        <w:rPr>
          <w:rFonts w:hint="eastAsia" w:cs="Times New Roman"/>
          <w:color w:val="auto"/>
          <w:sz w:val="24"/>
          <w:highlight w:val="none"/>
          <w:lang w:val="en-US" w:eastAsia="zh-CN"/>
        </w:rPr>
        <w:t>0.45</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150</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w:t>
      </w:r>
    </w:p>
    <w:p>
      <w:pPr>
        <w:bidi w:val="0"/>
        <w:spacing w:line="500" w:lineRule="exact"/>
        <w:ind w:firstLine="480" w:firstLineChars="200"/>
        <w:rPr>
          <w:rFonts w:hint="eastAsia" w:cs="Times New Roman"/>
          <w:color w:val="auto"/>
          <w:sz w:val="24"/>
          <w:highlight w:val="none"/>
          <w:lang w:eastAsia="zh-CN"/>
        </w:rPr>
      </w:pPr>
      <w:r>
        <w:rPr>
          <w:rFonts w:ascii="Times New Roman" w:hAnsi="Times New Roman" w:eastAsia="宋体" w:cs="Times New Roman"/>
          <w:color w:val="auto"/>
          <w:sz w:val="24"/>
          <w:highlight w:val="none"/>
        </w:rPr>
        <w:t>生活污水</w:t>
      </w:r>
      <w:r>
        <w:rPr>
          <w:rFonts w:hint="eastAsia" w:cs="Times New Roman"/>
          <w:color w:val="auto"/>
          <w:sz w:val="24"/>
          <w:highlight w:val="none"/>
          <w:lang w:eastAsia="zh-CN"/>
        </w:rPr>
        <w:t>产生量（按用水量的</w:t>
      </w:r>
      <w:r>
        <w:rPr>
          <w:rFonts w:hint="eastAsia" w:cs="Times New Roman"/>
          <w:color w:val="auto"/>
          <w:sz w:val="24"/>
          <w:highlight w:val="none"/>
          <w:lang w:val="en-US" w:eastAsia="zh-CN"/>
        </w:rPr>
        <w:t>80%计算）0.36</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118.8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（3）锅炉排水</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锅炉补充水，包括补充的软水及排污水补充水。本项目锅炉软水制备采用全自动软水设备，原理是离子交换。钠离子交换树脂带有大量的钠离子，当水中的钙镁离子含量高时，离子交换树脂可以释放出钠离子，功能基团与该镁离子结合，使水中的钙镁离子含量降低，水的硬度下降，硬水就变为软水。</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排放源统计调查产排污核算方法和系数手册》中“4430工业锅炉（热力供应）行业系数手册”中“430工业锅炉（热力生产和供应行业）产污系数表-工业废水量和化学需氧量”生物质燃料锅外水处理产物系数为0.356吨/吨-原料。本项目燃烧生物质颗粒</w:t>
      </w:r>
      <w:r>
        <w:rPr>
          <w:rFonts w:hint="eastAsia" w:cs="Times New Roman"/>
          <w:color w:val="auto"/>
          <w:sz w:val="24"/>
          <w:highlight w:val="none"/>
          <w:lang w:val="en-US" w:eastAsia="zh-CN"/>
        </w:rPr>
        <w:t>4165</w:t>
      </w:r>
      <w:r>
        <w:rPr>
          <w:rFonts w:hint="eastAsia" w:ascii="Times New Roman" w:hAnsi="Times New Roman" w:eastAsia="宋体" w:cs="Times New Roman"/>
          <w:color w:val="auto"/>
          <w:sz w:val="24"/>
          <w:highlight w:val="none"/>
          <w:lang w:val="en-US" w:eastAsia="zh-CN"/>
        </w:rPr>
        <w:t>t/a。</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ascii="Times New Roman" w:hAnsi="Times New Roman" w:eastAsia="宋体" w:cs="Times New Roman"/>
          <w:color w:val="auto"/>
          <w:sz w:val="24"/>
          <w:highlight w:val="none"/>
        </w:rPr>
        <w:t>锅炉</w:t>
      </w:r>
      <w:r>
        <w:rPr>
          <w:rFonts w:hint="eastAsia" w:ascii="Times New Roman" w:hAnsi="Times New Roman" w:eastAsia="宋体" w:cs="Times New Roman"/>
          <w:color w:val="auto"/>
          <w:sz w:val="24"/>
          <w:highlight w:val="none"/>
        </w:rPr>
        <w:t>软化水及</w:t>
      </w:r>
      <w:r>
        <w:rPr>
          <w:rFonts w:ascii="Times New Roman" w:hAnsi="Times New Roman" w:eastAsia="宋体" w:cs="Times New Roman"/>
          <w:color w:val="auto"/>
          <w:sz w:val="24"/>
          <w:highlight w:val="none"/>
        </w:rPr>
        <w:t>排</w:t>
      </w:r>
      <w:r>
        <w:rPr>
          <w:rFonts w:hint="eastAsia" w:ascii="Times New Roman" w:hAnsi="Times New Roman" w:eastAsia="宋体" w:cs="Times New Roman"/>
          <w:color w:val="auto"/>
          <w:sz w:val="24"/>
          <w:highlight w:val="none"/>
        </w:rPr>
        <w:t>污</w:t>
      </w:r>
      <w:r>
        <w:rPr>
          <w:rFonts w:hint="eastAsia" w:ascii="Times New Roman" w:hAnsi="Times New Roman" w:eastAsia="宋体" w:cs="Times New Roman"/>
          <w:color w:val="auto"/>
          <w:sz w:val="24"/>
          <w:highlight w:val="none"/>
          <w:lang w:eastAsia="zh-CN"/>
        </w:rPr>
        <w:t>水</w:t>
      </w:r>
      <w:r>
        <w:rPr>
          <w:rFonts w:hint="eastAsia" w:ascii="Times New Roman" w:hAnsi="Times New Roman" w:eastAsia="宋体" w:cs="Times New Roman"/>
          <w:color w:val="auto"/>
          <w:sz w:val="24"/>
          <w:highlight w:val="none"/>
        </w:rPr>
        <w:t>约为</w:t>
      </w:r>
      <w:r>
        <w:rPr>
          <w:rFonts w:hint="eastAsia" w:cs="Times New Roman"/>
          <w:color w:val="auto"/>
          <w:sz w:val="24"/>
          <w:highlight w:val="none"/>
          <w:lang w:val="en-US" w:eastAsia="zh-CN"/>
        </w:rPr>
        <w:t>4.5</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1482.74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锅炉蒸发损失（按</w:t>
      </w:r>
      <w:r>
        <w:rPr>
          <w:rFonts w:hint="eastAsia" w:cs="Times New Roman"/>
          <w:color w:val="auto"/>
          <w:sz w:val="24"/>
          <w:highlight w:val="none"/>
          <w:lang w:val="en-US" w:eastAsia="zh-CN"/>
        </w:rPr>
        <w:t>1%计算）</w:t>
      </w:r>
      <w:r>
        <w:rPr>
          <w:rFonts w:hint="eastAsia" w:cs="Times New Roman"/>
          <w:color w:val="auto"/>
          <w:sz w:val="24"/>
          <w:highlight w:val="none"/>
          <w:lang w:eastAsia="zh-CN"/>
        </w:rPr>
        <w:t>量</w:t>
      </w:r>
      <w:r>
        <w:rPr>
          <w:rFonts w:hint="eastAsia" w:cs="Times New Roman"/>
          <w:color w:val="auto"/>
          <w:sz w:val="24"/>
          <w:highlight w:val="none"/>
          <w:lang w:val="en-US" w:eastAsia="zh-CN"/>
        </w:rPr>
        <w:t>1.44</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475.2</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cs="Times New Roman"/>
          <w:color w:val="auto"/>
          <w:sz w:val="24"/>
          <w:highlight w:val="none"/>
          <w:lang w:eastAsia="zh-CN"/>
        </w:rPr>
        <w:t>则锅炉</w:t>
      </w:r>
      <w:r>
        <w:rPr>
          <w:rFonts w:hint="eastAsia" w:cs="Times New Roman"/>
          <w:color w:val="auto"/>
          <w:sz w:val="24"/>
          <w:highlight w:val="none"/>
          <w:lang w:val="en-US" w:eastAsia="zh-CN"/>
        </w:rPr>
        <w:t>补充新鲜用水量为5.94</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1957.94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经污水处理站处理后全部循</w:t>
      </w:r>
      <w:r>
        <w:rPr>
          <w:rFonts w:hint="eastAsia" w:ascii="Times New Roman" w:hAnsi="Times New Roman" w:eastAsia="宋体" w:cs="Times New Roman"/>
          <w:color w:val="auto"/>
          <w:sz w:val="24"/>
          <w:highlight w:val="none"/>
          <w:lang w:eastAsia="zh-CN"/>
        </w:rPr>
        <w:t>回用于生产</w:t>
      </w:r>
      <w:r>
        <w:rPr>
          <w:rFonts w:hint="eastAsia" w:cs="Times New Roman"/>
          <w:color w:val="auto"/>
          <w:sz w:val="24"/>
          <w:highlight w:val="none"/>
          <w:lang w:eastAsia="zh-CN"/>
        </w:rPr>
        <w:t>不外排。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综上所述，本项目生产工艺用水量909.09m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/d（300000m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）；循环用水</w:t>
      </w:r>
      <w:r>
        <w:rPr>
          <w:rFonts w:hint="eastAsia" w:cs="Times New Roman"/>
          <w:color w:val="auto"/>
          <w:sz w:val="24"/>
          <w:highlight w:val="none"/>
          <w:lang w:eastAsia="zh-CN"/>
        </w:rPr>
        <w:t>补充用水量约为</w:t>
      </w:r>
      <w:r>
        <w:rPr>
          <w:rFonts w:hint="eastAsia" w:cs="Times New Roman"/>
          <w:color w:val="auto"/>
          <w:sz w:val="24"/>
          <w:highlight w:val="none"/>
          <w:lang w:val="en-US" w:eastAsia="zh-CN"/>
        </w:rPr>
        <w:t>27.27t/d（9000t/a），其中，补充</w:t>
      </w:r>
      <w:r>
        <w:rPr>
          <w:rFonts w:hint="eastAsia" w:cs="Times New Roman"/>
          <w:color w:val="auto"/>
          <w:sz w:val="24"/>
          <w:highlight w:val="none"/>
          <w:lang w:eastAsia="zh-CN"/>
        </w:rPr>
        <w:t>新鲜水</w:t>
      </w:r>
      <w:r>
        <w:rPr>
          <w:rFonts w:hint="eastAsia" w:cs="Times New Roman"/>
          <w:color w:val="auto"/>
          <w:sz w:val="24"/>
          <w:highlight w:val="none"/>
          <w:lang w:val="en-US" w:eastAsia="zh-CN"/>
        </w:rPr>
        <w:t>量22.77t/d（7514.1t/a），锅炉排污水4.5</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1482.74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w:t>
      </w:r>
      <w:r>
        <w:rPr>
          <w:rFonts w:ascii="Times New Roman" w:hAnsi="Times New Roman" w:eastAsia="宋体" w:cs="Times New Roman"/>
          <w:color w:val="auto"/>
          <w:sz w:val="24"/>
          <w:highlight w:val="none"/>
        </w:rPr>
        <w:t>生活污水</w:t>
      </w:r>
      <w:r>
        <w:rPr>
          <w:rFonts w:hint="eastAsia" w:cs="Times New Roman"/>
          <w:color w:val="auto"/>
          <w:sz w:val="24"/>
          <w:highlight w:val="none"/>
          <w:lang w:eastAsia="zh-CN"/>
        </w:rPr>
        <w:t>产生量（按用水量的</w:t>
      </w:r>
      <w:r>
        <w:rPr>
          <w:rFonts w:hint="eastAsia" w:cs="Times New Roman"/>
          <w:color w:val="auto"/>
          <w:sz w:val="24"/>
          <w:highlight w:val="none"/>
          <w:lang w:val="en-US" w:eastAsia="zh-CN"/>
        </w:rPr>
        <w:t>80%计算）0.36</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118.8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r>
        <w:rPr>
          <w:rFonts w:hint="eastAsia" w:ascii="Times New Roman" w:hAnsi="Times New Roman" w:eastAsia="宋体" w:cs="Times New Roman"/>
          <w:color w:val="auto"/>
          <w:sz w:val="24"/>
          <w:highlight w:val="none"/>
          <w:lang w:val="en-US" w:eastAsia="zh-CN"/>
        </w:rPr>
        <w:t>生产废水、锅炉排水均经污水处理站处理后全部循环使用，不外排。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表3.4.2.1-2             项目废水主要污染物产排情况一览表</w:t>
      </w:r>
    </w:p>
    <w:tbl>
      <w:tblPr>
        <w:tblStyle w:val="28"/>
        <w:tblW w:w="8957"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Layout w:type="fixed"/>
        <w:tblCellMar>
          <w:top w:w="0" w:type="dxa"/>
          <w:left w:w="0" w:type="dxa"/>
          <w:bottom w:w="0" w:type="dxa"/>
          <w:right w:w="0" w:type="dxa"/>
        </w:tblCellMar>
      </w:tblPr>
      <w:tblGrid>
        <w:gridCol w:w="664"/>
        <w:gridCol w:w="558"/>
        <w:gridCol w:w="261"/>
        <w:gridCol w:w="662"/>
        <w:gridCol w:w="647"/>
        <w:gridCol w:w="995"/>
        <w:gridCol w:w="1129"/>
        <w:gridCol w:w="422"/>
        <w:gridCol w:w="337"/>
        <w:gridCol w:w="825"/>
        <w:gridCol w:w="640"/>
        <w:gridCol w:w="1084"/>
        <w:gridCol w:w="73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773" w:hRule="atLeast"/>
        </w:trPr>
        <w:tc>
          <w:tcPr>
            <w:tcW w:w="66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污染源</w:t>
            </w:r>
          </w:p>
        </w:tc>
        <w:tc>
          <w:tcPr>
            <w:tcW w:w="55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物</w:t>
            </w:r>
          </w:p>
        </w:tc>
        <w:tc>
          <w:tcPr>
            <w:tcW w:w="25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污染物产生</w:t>
            </w:r>
          </w:p>
        </w:tc>
        <w:tc>
          <w:tcPr>
            <w:tcW w:w="155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治理措施</w:t>
            </w:r>
          </w:p>
        </w:tc>
        <w:tc>
          <w:tcPr>
            <w:tcW w:w="2886"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污染物排放</w:t>
            </w:r>
          </w:p>
        </w:tc>
        <w:tc>
          <w:tcPr>
            <w:tcW w:w="7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排放时间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1501"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2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核算</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方法</w:t>
            </w:r>
          </w:p>
        </w:tc>
        <w:tc>
          <w:tcPr>
            <w:tcW w:w="6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产生废水 量m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3</w:t>
            </w:r>
            <w:r>
              <w:rPr>
                <w:rFonts w:ascii="Times New Roman" w:hAnsi="Times New Roman" w:eastAsia="宋体" w:cs="Times New Roman"/>
                <w:color w:val="auto"/>
                <w:spacing w:val="0"/>
                <w:w w:val="100"/>
                <w:position w:val="0"/>
                <w:sz w:val="21"/>
                <w:szCs w:val="21"/>
                <w:highlight w:val="none"/>
              </w:rPr>
              <w:t>/d</w:t>
            </w: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产生浓度mg/L</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产生量</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t/d</w:t>
            </w:r>
          </w:p>
        </w:tc>
        <w:tc>
          <w:tcPr>
            <w:tcW w:w="11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工艺</w:t>
            </w: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效率%</w:t>
            </w:r>
          </w:p>
        </w:tc>
        <w:tc>
          <w:tcPr>
            <w:tcW w:w="3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核算方法</w:t>
            </w:r>
          </w:p>
        </w:tc>
        <w:tc>
          <w:tcPr>
            <w:tcW w:w="8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废水回用</w:t>
            </w:r>
            <w:r>
              <w:rPr>
                <w:rFonts w:ascii="Times New Roman" w:hAnsi="Times New Roman" w:eastAsia="宋体" w:cs="Times New Roman"/>
                <w:color w:val="auto"/>
                <w:spacing w:val="0"/>
                <w:w w:val="100"/>
                <w:position w:val="0"/>
                <w:sz w:val="21"/>
                <w:szCs w:val="21"/>
                <w:highlight w:val="none"/>
              </w:rPr>
              <w:t xml:space="preserve"> 量m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3</w:t>
            </w:r>
            <w:r>
              <w:rPr>
                <w:rFonts w:ascii="Times New Roman" w:hAnsi="Times New Roman" w:eastAsia="宋体" w:cs="Times New Roman"/>
                <w:color w:val="auto"/>
                <w:spacing w:val="0"/>
                <w:w w:val="100"/>
                <w:position w:val="0"/>
                <w:sz w:val="21"/>
                <w:szCs w:val="21"/>
                <w:highlight w:val="none"/>
              </w:rPr>
              <w:t>/d</w:t>
            </w: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排放浓度mg/L</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产生量</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t/d</w:t>
            </w:r>
          </w:p>
        </w:tc>
        <w:tc>
          <w:tcPr>
            <w:tcW w:w="7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d/a）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86" w:hRule="atLeast"/>
        </w:trPr>
        <w:tc>
          <w:tcPr>
            <w:tcW w:w="66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造纸</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制浆废水</w:t>
            </w: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COD</w:t>
            </w:r>
          </w:p>
        </w:tc>
        <w:tc>
          <w:tcPr>
            <w:tcW w:w="26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类比法</w:t>
            </w:r>
          </w:p>
        </w:tc>
        <w:tc>
          <w:tcPr>
            <w:tcW w:w="66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909.09</w:t>
            </w: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2800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2.6</w:t>
            </w:r>
          </w:p>
        </w:tc>
        <w:tc>
          <w:tcPr>
            <w:tcW w:w="112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气浮+A/O生化+沉淀</w:t>
            </w: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97</w:t>
            </w:r>
          </w:p>
        </w:tc>
        <w:tc>
          <w:tcPr>
            <w:tcW w:w="33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类比 法</w:t>
            </w:r>
          </w:p>
        </w:tc>
        <w:tc>
          <w:tcPr>
            <w:tcW w:w="8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909.09</w:t>
            </w: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84</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0.078</w:t>
            </w:r>
          </w:p>
        </w:tc>
        <w:tc>
          <w:tcPr>
            <w:tcW w:w="73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86"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BOD</w:t>
            </w:r>
            <w:r>
              <w:rPr>
                <w:rFonts w:ascii="Times New Roman" w:hAnsi="Times New Roman" w:eastAsia="宋体" w:cs="Times New Roman"/>
                <w:color w:val="auto"/>
                <w:spacing w:val="0"/>
                <w:w w:val="100"/>
                <w:position w:val="0"/>
                <w:sz w:val="21"/>
                <w:szCs w:val="21"/>
                <w:highlight w:val="none"/>
                <w:vertAlign w:val="subscript"/>
              </w:rPr>
              <w:t>5</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0.73</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97</w:t>
            </w: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24</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0.022</w:t>
            </w: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86"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SS</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1500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1.4</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98</w:t>
            </w: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0.028</w:t>
            </w: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86"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氨氮</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0.014</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20</w:t>
            </w: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12</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0.0112</w:t>
            </w: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86" w:hRule="atLeast"/>
        </w:trPr>
        <w:tc>
          <w:tcPr>
            <w:tcW w:w="66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锅炉排污水</w:t>
            </w: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COD</w:t>
            </w:r>
          </w:p>
        </w:tc>
        <w:tc>
          <w:tcPr>
            <w:tcW w:w="26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类比法</w:t>
            </w:r>
          </w:p>
        </w:tc>
        <w:tc>
          <w:tcPr>
            <w:tcW w:w="66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4.5</w:t>
            </w: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101</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0.00045</w:t>
            </w:r>
          </w:p>
        </w:tc>
        <w:tc>
          <w:tcPr>
            <w:tcW w:w="112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气浮+A/O生化+沉淀</w:t>
            </w: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97</w:t>
            </w:r>
          </w:p>
        </w:tc>
        <w:tc>
          <w:tcPr>
            <w:tcW w:w="33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类比 法</w:t>
            </w:r>
          </w:p>
        </w:tc>
        <w:tc>
          <w:tcPr>
            <w:tcW w:w="8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8.09</w:t>
            </w: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color w:val="auto"/>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30.3</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0.000135</w:t>
            </w:r>
          </w:p>
        </w:tc>
        <w:tc>
          <w:tcPr>
            <w:tcW w:w="73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742"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SS</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33</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0.00015</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98</w:t>
            </w: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6.6</w:t>
            </w: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0.00003</w:t>
            </w: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720" w:hRule="atLeast"/>
        </w:trPr>
        <w:tc>
          <w:tcPr>
            <w:tcW w:w="66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生活污水</w:t>
            </w: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r>
              <w:rPr>
                <w:rFonts w:ascii="Times New Roman" w:hAnsi="Times New Roman" w:eastAsia="宋体" w:cs="Times New Roman"/>
                <w:color w:val="auto"/>
                <w:spacing w:val="0"/>
                <w:w w:val="100"/>
                <w:position w:val="0"/>
                <w:sz w:val="21"/>
                <w:szCs w:val="21"/>
                <w:highlight w:val="none"/>
              </w:rPr>
              <w:t>COD</w:t>
            </w:r>
          </w:p>
        </w:tc>
        <w:tc>
          <w:tcPr>
            <w:tcW w:w="26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类比法</w:t>
            </w:r>
          </w:p>
        </w:tc>
        <w:tc>
          <w:tcPr>
            <w:tcW w:w="66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0.36</w:t>
            </w: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300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0.000108</w:t>
            </w:r>
          </w:p>
        </w:tc>
        <w:tc>
          <w:tcPr>
            <w:tcW w:w="112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采用防渗旱厕收集，定期清掏还田</w:t>
            </w: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p>
        </w:tc>
        <w:tc>
          <w:tcPr>
            <w:tcW w:w="33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3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73"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bidi="zh-CN"/>
              </w:rPr>
            </w:pPr>
            <w:r>
              <w:rPr>
                <w:rFonts w:ascii="Times New Roman" w:hAnsi="Times New Roman" w:eastAsia="宋体" w:cs="Times New Roman"/>
                <w:color w:val="auto"/>
                <w:spacing w:val="0"/>
                <w:w w:val="100"/>
                <w:position w:val="0"/>
                <w:sz w:val="21"/>
                <w:szCs w:val="21"/>
                <w:highlight w:val="none"/>
              </w:rPr>
              <w:t>BOD</w:t>
            </w:r>
            <w:r>
              <w:rPr>
                <w:rFonts w:ascii="Times New Roman" w:hAnsi="Times New Roman" w:eastAsia="宋体" w:cs="Times New Roman"/>
                <w:color w:val="auto"/>
                <w:spacing w:val="0"/>
                <w:w w:val="100"/>
                <w:position w:val="0"/>
                <w:sz w:val="21"/>
                <w:szCs w:val="21"/>
                <w:highlight w:val="none"/>
                <w:vertAlign w:val="subscript"/>
              </w:rPr>
              <w:t>5</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150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0.000054</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rPr>
            </w:pP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73"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bidi="zh-CN"/>
              </w:rPr>
            </w:pPr>
            <w:r>
              <w:rPr>
                <w:rFonts w:ascii="Times New Roman" w:hAnsi="Times New Roman" w:eastAsia="宋体" w:cs="Times New Roman"/>
                <w:color w:val="auto"/>
                <w:spacing w:val="0"/>
                <w:w w:val="100"/>
                <w:position w:val="0"/>
                <w:sz w:val="21"/>
                <w:szCs w:val="21"/>
                <w:highlight w:val="none"/>
              </w:rPr>
              <w:t>SS</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120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0.000043</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758" w:hRule="atLeast"/>
        </w:trPr>
        <w:tc>
          <w:tcPr>
            <w:tcW w:w="66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5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olor w:val="auto"/>
                <w:spacing w:val="0"/>
                <w:w w:val="100"/>
                <w:position w:val="0"/>
                <w:sz w:val="21"/>
                <w:szCs w:val="21"/>
                <w:highlight w:val="none"/>
                <w:lang w:val="en-US" w:eastAsia="zh-CN" w:bidi="zh-CN"/>
              </w:rPr>
            </w:pPr>
            <w:r>
              <w:rPr>
                <w:rFonts w:ascii="Times New Roman" w:hAnsi="Times New Roman" w:eastAsia="宋体" w:cs="Times New Roman"/>
                <w:color w:val="auto"/>
                <w:spacing w:val="0"/>
                <w:w w:val="100"/>
                <w:position w:val="0"/>
                <w:sz w:val="21"/>
                <w:szCs w:val="21"/>
                <w:highlight w:val="none"/>
              </w:rPr>
              <w:t>氨氮</w:t>
            </w:r>
          </w:p>
        </w:tc>
        <w:tc>
          <w:tcPr>
            <w:tcW w:w="2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6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0.0000108</w:t>
            </w:r>
          </w:p>
        </w:tc>
        <w:tc>
          <w:tcPr>
            <w:tcW w:w="112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4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33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8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1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17" w:hRule="atLeast"/>
        </w:trPr>
        <w:tc>
          <w:tcPr>
            <w:tcW w:w="8957" w:type="dxa"/>
            <w:gridSpan w:val="1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说明：</w:t>
            </w:r>
            <w:r>
              <w:rPr>
                <w:rFonts w:hint="eastAsia" w:ascii="Times New Roman" w:hAnsi="Times New Roman" w:eastAsia="宋体" w:cs="Times New Roman"/>
                <w:color w:val="auto"/>
                <w:spacing w:val="0"/>
                <w:w w:val="100"/>
                <w:position w:val="0"/>
                <w:sz w:val="21"/>
                <w:szCs w:val="21"/>
                <w:highlight w:val="none"/>
                <w:lang w:eastAsia="zh-CN"/>
              </w:rPr>
              <w:t>本项目</w:t>
            </w:r>
            <w:r>
              <w:rPr>
                <w:rFonts w:hint="eastAsia" w:cs="Times New Roman"/>
                <w:color w:val="auto"/>
                <w:spacing w:val="0"/>
                <w:w w:val="100"/>
                <w:position w:val="0"/>
                <w:sz w:val="21"/>
                <w:szCs w:val="21"/>
                <w:highlight w:val="none"/>
                <w:lang w:val="en-US" w:eastAsia="zh-CN"/>
              </w:rPr>
              <w:t>生产</w:t>
            </w:r>
            <w:r>
              <w:rPr>
                <w:rFonts w:ascii="Times New Roman" w:hAnsi="Times New Roman" w:eastAsia="宋体" w:cs="Times New Roman"/>
                <w:color w:val="auto"/>
                <w:spacing w:val="0"/>
                <w:w w:val="100"/>
                <w:position w:val="0"/>
                <w:sz w:val="21"/>
                <w:szCs w:val="21"/>
                <w:highlight w:val="none"/>
              </w:rPr>
              <w:t>废水全部回用于生产，不排放。</w:t>
            </w:r>
          </w:p>
        </w:tc>
      </w:tr>
    </w:tbl>
    <w:p>
      <w:pPr>
        <w:pStyle w:val="11"/>
        <w:keepNext w:val="0"/>
        <w:keepLines w:val="0"/>
        <w:pageBreakBefore w:val="0"/>
        <w:kinsoku/>
        <w:wordWrap/>
        <w:overflowPunct/>
        <w:topLinePunct w:val="0"/>
        <w:bidi w:val="0"/>
        <w:spacing w:line="30" w:lineRule="exact"/>
        <w:ind w:left="0"/>
        <w:textAlignment w:val="auto"/>
        <w:rPr>
          <w:rFonts w:ascii="Times New Roman" w:hAnsi="Times New Roman" w:eastAsia="宋体" w:cs="Times New Roman"/>
          <w:color w:val="auto"/>
          <w:spacing w:val="0"/>
          <w:w w:val="99"/>
          <w:position w:val="0"/>
          <w:sz w:val="3"/>
          <w:highlight w:val="none"/>
        </w:rPr>
      </w:pPr>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Cs w:val="0"/>
          <w:color w:val="auto"/>
          <w:szCs w:val="20"/>
          <w:highlight w:val="none"/>
          <w:lang w:val="en-US" w:bidi="ar-SA"/>
        </w:rPr>
      </w:pPr>
      <w:r>
        <w:rPr>
          <w:rFonts w:hint="eastAsia" w:ascii="Times New Roman" w:hAnsi="Times New Roman" w:eastAsia="宋体" w:cs="Times New Roman"/>
          <w:bCs w:val="0"/>
          <w:color w:val="auto"/>
          <w:szCs w:val="20"/>
          <w:highlight w:val="none"/>
          <w:lang w:val="en-US" w:eastAsia="zh-CN" w:bidi="ar-SA"/>
        </w:rPr>
        <w:t>3.4.2.2</w:t>
      </w:r>
      <w:r>
        <w:rPr>
          <w:rFonts w:hint="eastAsia" w:ascii="Times New Roman" w:hAnsi="Times New Roman" w:eastAsia="宋体" w:cs="Times New Roman"/>
          <w:bCs w:val="0"/>
          <w:color w:val="auto"/>
          <w:szCs w:val="20"/>
          <w:highlight w:val="none"/>
          <w:lang w:val="en-US" w:bidi="ar-SA"/>
        </w:rPr>
        <w:t>废气</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1）锅炉烟气</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本项目设置一台</w:t>
      </w:r>
      <w:r>
        <w:rPr>
          <w:rFonts w:hint="eastAsia" w:ascii="Times New Roman" w:hAnsi="Times New Roman" w:eastAsia="宋体" w:cs="Times New Roman"/>
          <w:color w:val="auto"/>
          <w:sz w:val="24"/>
          <w:highlight w:val="none"/>
          <w:lang w:val="en-US" w:eastAsia="zh-CN"/>
        </w:rPr>
        <w:t>6t/h</w:t>
      </w:r>
      <w:r>
        <w:rPr>
          <w:rFonts w:hint="eastAsia" w:ascii="Times New Roman" w:hAnsi="Times New Roman" w:eastAsia="宋体" w:cs="Times New Roman"/>
          <w:color w:val="auto"/>
          <w:sz w:val="24"/>
          <w:highlight w:val="none"/>
          <w:lang w:eastAsia="zh-CN"/>
        </w:rPr>
        <w:t>生物质</w:t>
      </w:r>
      <w:r>
        <w:rPr>
          <w:rFonts w:ascii="Times New Roman" w:hAnsi="Times New Roman" w:eastAsia="宋体" w:cs="Times New Roman"/>
          <w:color w:val="auto"/>
          <w:sz w:val="24"/>
          <w:highlight w:val="none"/>
        </w:rPr>
        <w:t>蒸汽锅炉，生产及冬季生活</w:t>
      </w:r>
      <w:r>
        <w:rPr>
          <w:rFonts w:hint="eastAsia" w:ascii="Times New Roman" w:hAnsi="Times New Roman" w:eastAsia="宋体" w:cs="Times New Roman"/>
          <w:color w:val="auto"/>
          <w:sz w:val="24"/>
          <w:highlight w:val="none"/>
          <w:lang w:eastAsia="zh-CN"/>
        </w:rPr>
        <w:t>供热</w:t>
      </w:r>
      <w:r>
        <w:rPr>
          <w:rFonts w:ascii="Times New Roman" w:hAnsi="Times New Roman" w:eastAsia="宋体" w:cs="Times New Roman"/>
          <w:color w:val="auto"/>
          <w:sz w:val="24"/>
          <w:highlight w:val="none"/>
        </w:rPr>
        <w:t>均由</w:t>
      </w:r>
      <w:r>
        <w:rPr>
          <w:rFonts w:hint="eastAsia" w:ascii="Times New Roman" w:hAnsi="Times New Roman" w:eastAsia="宋体" w:cs="Times New Roman"/>
          <w:color w:val="auto"/>
          <w:sz w:val="24"/>
          <w:highlight w:val="none"/>
          <w:lang w:eastAsia="zh-CN"/>
        </w:rPr>
        <w:t>生物质</w:t>
      </w:r>
      <w:r>
        <w:rPr>
          <w:rFonts w:ascii="Times New Roman" w:hAnsi="Times New Roman" w:eastAsia="宋体" w:cs="Times New Roman"/>
          <w:color w:val="auto"/>
          <w:sz w:val="24"/>
          <w:highlight w:val="none"/>
        </w:rPr>
        <w:t>锅炉提供，年耗</w:t>
      </w:r>
      <w:r>
        <w:rPr>
          <w:rFonts w:hint="eastAsia" w:ascii="Times New Roman" w:hAnsi="Times New Roman" w:eastAsia="宋体" w:cs="Times New Roman"/>
          <w:color w:val="auto"/>
          <w:sz w:val="24"/>
          <w:highlight w:val="none"/>
          <w:lang w:eastAsia="zh-CN"/>
        </w:rPr>
        <w:t>生物质颗粒</w:t>
      </w:r>
      <w:r>
        <w:rPr>
          <w:rFonts w:hint="eastAsia" w:cs="Times New Roman"/>
          <w:color w:val="auto"/>
          <w:sz w:val="24"/>
          <w:highlight w:val="none"/>
          <w:lang w:val="en-US" w:eastAsia="zh-CN"/>
        </w:rPr>
        <w:t>4165</w:t>
      </w:r>
      <w:r>
        <w:rPr>
          <w:rFonts w:hint="eastAsia" w:ascii="Times New Roman" w:hAnsi="Times New Roman" w:eastAsia="宋体" w:cs="Times New Roman"/>
          <w:color w:val="auto"/>
          <w:sz w:val="24"/>
          <w:highlight w:val="none"/>
          <w:lang w:val="en-US" w:eastAsia="zh-CN"/>
        </w:rPr>
        <w:t>吨</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本项目烟气采用袋式除尘</w:t>
      </w:r>
      <w:r>
        <w:rPr>
          <w:rFonts w:hint="eastAsia" w:ascii="Times New Roman" w:hAnsi="Times New Roman" w:eastAsia="宋体" w:cs="Times New Roman"/>
          <w:color w:val="auto"/>
          <w:sz w:val="24"/>
          <w:highlight w:val="none"/>
          <w:lang w:val="en-US" w:eastAsia="zh-CN"/>
        </w:rPr>
        <w:t>+35米高排气筒排放，根据</w:t>
      </w:r>
      <w:r>
        <w:rPr>
          <w:rFonts w:hint="eastAsia" w:ascii="Times New Roman" w:hAnsi="Times New Roman" w:eastAsia="宋体" w:cs="Times New Roman"/>
          <w:color w:val="auto"/>
          <w:sz w:val="24"/>
          <w:highlight w:val="none"/>
        </w:rPr>
        <w:t>《排放源统计调查产排污核算方法和系数手册》中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4430工业锅炉</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热力供应）行业系数手册</w:t>
      </w:r>
      <w:r>
        <w:rPr>
          <w:rFonts w:hint="eastAsia" w:ascii="Times New Roman" w:hAnsi="Times New Roman" w:eastAsia="宋体" w:cs="Times New Roman"/>
          <w:color w:val="auto"/>
          <w:sz w:val="24"/>
          <w:highlight w:val="none"/>
          <w:lang w:eastAsia="zh-CN"/>
        </w:rPr>
        <w:t>”生物质锅炉采取袋式除尘，废气治理效率为</w:t>
      </w:r>
      <w:r>
        <w:rPr>
          <w:rFonts w:hint="eastAsia" w:ascii="Times New Roman" w:hAnsi="Times New Roman" w:eastAsia="宋体" w:cs="Times New Roman"/>
          <w:color w:val="auto"/>
          <w:sz w:val="24"/>
          <w:highlight w:val="none"/>
          <w:lang w:val="en-US" w:eastAsia="zh-CN"/>
        </w:rPr>
        <w:t>99.7%。</w:t>
      </w:r>
      <w:r>
        <w:rPr>
          <w:rFonts w:ascii="Times New Roman" w:hAnsi="Times New Roman" w:eastAsia="宋体" w:cs="Times New Roman"/>
          <w:color w:val="auto"/>
          <w:sz w:val="24"/>
          <w:highlight w:val="none"/>
        </w:rPr>
        <w:t>烟气产生情况见表</w:t>
      </w:r>
      <w:r>
        <w:rPr>
          <w:rFonts w:hint="eastAsia" w:ascii="Times New Roman" w:hAnsi="Times New Roman" w:eastAsia="宋体" w:cs="Times New Roman"/>
          <w:color w:val="auto"/>
          <w:sz w:val="24"/>
          <w:highlight w:val="none"/>
          <w:lang w:val="en-US" w:eastAsia="zh-CN"/>
        </w:rPr>
        <w:t>3.4.2.2-1</w:t>
      </w:r>
      <w:r>
        <w:rPr>
          <w:rFonts w:ascii="Times New Roman" w:hAnsi="Times New Roman" w:eastAsia="宋体" w:cs="Times New Roman"/>
          <w:color w:val="auto"/>
          <w:sz w:val="24"/>
          <w:highlight w:val="none"/>
        </w:rPr>
        <w:t>。</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据《排放源统计调查产排污核算方法和系数手册》中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4430工业锅炉</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热力供应）行业系数手册</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430</w:t>
      </w:r>
      <w:r>
        <w:rPr>
          <w:rFonts w:hint="eastAsia" w:ascii="Times New Roman" w:hAnsi="Times New Roman" w:eastAsia="宋体" w:cs="Times New Roman"/>
          <w:color w:val="auto"/>
          <w:sz w:val="24"/>
          <w:highlight w:val="none"/>
          <w:lang w:val="en-US" w:eastAsia="zh-CN"/>
        </w:rPr>
        <w:t>0</w:t>
      </w:r>
      <w:r>
        <w:rPr>
          <w:rFonts w:hint="eastAsia" w:ascii="Times New Roman" w:hAnsi="Times New Roman" w:eastAsia="宋体" w:cs="Times New Roman"/>
          <w:color w:val="auto"/>
          <w:sz w:val="24"/>
          <w:highlight w:val="none"/>
        </w:rPr>
        <w:t>工业锅炉</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热力生产和供应行业）产污系数表-生物质</w:t>
      </w:r>
      <w:r>
        <w:rPr>
          <w:rFonts w:hint="eastAsia" w:ascii="Times New Roman" w:hAnsi="Times New Roman" w:eastAsia="宋体" w:cs="Times New Roman"/>
          <w:color w:val="auto"/>
          <w:sz w:val="24"/>
          <w:highlight w:val="none"/>
          <w:lang w:eastAsia="zh-CN"/>
        </w:rPr>
        <w:t>工业锅炉</w:t>
      </w:r>
      <w:r>
        <w:rPr>
          <w:rFonts w:hint="eastAsia" w:ascii="Times New Roman" w:hAnsi="Times New Roman" w:eastAsia="宋体" w:cs="Times New Roman"/>
          <w:color w:val="auto"/>
          <w:sz w:val="24"/>
          <w:highlight w:val="none"/>
        </w:rPr>
        <w:t>可知，生物质燃料的锅炉烟气排放系数以及SO</w:t>
      </w:r>
      <w:r>
        <w:rPr>
          <w:rFonts w:hint="eastAsia" w:ascii="Times New Roman" w:hAnsi="Times New Roman" w:eastAsia="宋体" w:cs="Times New Roman"/>
          <w:color w:val="auto"/>
          <w:sz w:val="24"/>
          <w:highlight w:val="none"/>
          <w:vertAlign w:val="superscript"/>
        </w:rPr>
        <w:t>2</w:t>
      </w:r>
      <w:r>
        <w:rPr>
          <w:rFonts w:hint="eastAsia" w:ascii="Times New Roman" w:hAnsi="Times New Roman" w:eastAsia="宋体" w:cs="Times New Roman"/>
          <w:color w:val="auto"/>
          <w:sz w:val="24"/>
          <w:highlight w:val="none"/>
        </w:rPr>
        <w:t>、NO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的产污系数如下：</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烟气排放系数：W=</w:t>
      </w:r>
      <w:r>
        <w:rPr>
          <w:rFonts w:hint="eastAsia" w:ascii="Times New Roman" w:hAnsi="Times New Roman" w:eastAsia="宋体" w:cs="Times New Roman"/>
          <w:color w:val="auto"/>
          <w:sz w:val="24"/>
          <w:highlight w:val="none"/>
          <w:lang w:val="en-US" w:eastAsia="zh-CN"/>
        </w:rPr>
        <w:t>6240</w:t>
      </w:r>
      <w:r>
        <w:rPr>
          <w:rFonts w:hint="eastAsia" w:ascii="Times New Roman" w:hAnsi="Times New Roman" w:eastAsia="宋体" w:cs="Times New Roman"/>
          <w:color w:val="auto"/>
          <w:sz w:val="24"/>
          <w:highlight w:val="none"/>
          <w:lang w:eastAsia="zh-CN"/>
        </w:rPr>
        <w:t>标立方米</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吨</w:t>
      </w:r>
      <w:r>
        <w:rPr>
          <w:rFonts w:hint="eastAsia" w:ascii="Times New Roman" w:hAnsi="Times New Roman" w:eastAsia="宋体" w:cs="Times New Roman"/>
          <w:color w:val="auto"/>
          <w:sz w:val="24"/>
          <w:highlight w:val="none"/>
        </w:rPr>
        <w:t>-原料；</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2</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SO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产污系数：G</w:t>
      </w:r>
      <w:r>
        <w:rPr>
          <w:rFonts w:hint="eastAsia" w:ascii="Times New Roman" w:hAnsi="Times New Roman" w:eastAsia="宋体" w:cs="Times New Roman"/>
          <w:color w:val="auto"/>
          <w:sz w:val="24"/>
          <w:highlight w:val="none"/>
          <w:vertAlign w:val="subscript"/>
        </w:rPr>
        <w:t>SO2</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17S千克/吨</w:t>
      </w:r>
      <w:r>
        <w:rPr>
          <w:rFonts w:hint="eastAsia" w:ascii="Times New Roman" w:hAnsi="Times New Roman" w:eastAsia="宋体" w:cs="Times New Roman"/>
          <w:color w:val="auto"/>
          <w:sz w:val="24"/>
          <w:highlight w:val="none"/>
        </w:rPr>
        <w:t>-原料</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本次含硫量S</w:t>
      </w:r>
      <w:r>
        <w:rPr>
          <w:rFonts w:hint="eastAsia" w:ascii="Times New Roman" w:hAnsi="Times New Roman" w:eastAsia="宋体" w:cs="Times New Roman"/>
          <w:color w:val="auto"/>
          <w:sz w:val="24"/>
          <w:highlight w:val="none"/>
          <w:lang w:eastAsia="zh-CN"/>
        </w:rPr>
        <w:t>以</w:t>
      </w:r>
      <w:r>
        <w:rPr>
          <w:rFonts w:hint="eastAsia" w:ascii="Times New Roman" w:hAnsi="Times New Roman" w:eastAsia="宋体" w:cs="Times New Roman"/>
          <w:color w:val="auto"/>
          <w:sz w:val="24"/>
          <w:highlight w:val="none"/>
          <w:lang w:val="en-US" w:eastAsia="zh-CN"/>
        </w:rPr>
        <w:t>0.02</w:t>
      </w:r>
      <w:r>
        <w:rPr>
          <w:rFonts w:hint="eastAsia" w:ascii="Times New Roman" w:hAnsi="Times New Roman" w:eastAsia="宋体" w:cs="Times New Roman"/>
          <w:color w:val="auto"/>
          <w:sz w:val="24"/>
          <w:highlight w:val="none"/>
        </w:rPr>
        <w:t>计算）；</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NO</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产污系数：G</w:t>
      </w:r>
      <w:r>
        <w:rPr>
          <w:rFonts w:hint="eastAsia" w:ascii="Times New Roman" w:hAnsi="Times New Roman" w:eastAsia="宋体" w:cs="Times New Roman"/>
          <w:color w:val="auto"/>
          <w:sz w:val="24"/>
          <w:highlight w:val="none"/>
          <w:vertAlign w:val="subscript"/>
        </w:rPr>
        <w:t>NO2</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1.02</w:t>
      </w:r>
      <w:r>
        <w:rPr>
          <w:rFonts w:hint="eastAsia" w:ascii="Times New Roman" w:hAnsi="Times New Roman" w:eastAsia="宋体" w:cs="Times New Roman"/>
          <w:color w:val="auto"/>
          <w:sz w:val="24"/>
          <w:highlight w:val="none"/>
          <w:lang w:eastAsia="zh-CN"/>
        </w:rPr>
        <w:t>千克</w:t>
      </w:r>
      <w:r>
        <w:rPr>
          <w:rFonts w:hint="eastAsia" w:ascii="Times New Roman" w:hAnsi="Times New Roman" w:eastAsia="宋体" w:cs="Times New Roman"/>
          <w:color w:val="auto"/>
          <w:sz w:val="24"/>
          <w:highlight w:val="none"/>
          <w:lang w:val="en-US" w:eastAsia="zh-CN"/>
        </w:rPr>
        <w:t>/吨</w:t>
      </w:r>
      <w:r>
        <w:rPr>
          <w:rFonts w:hint="eastAsia" w:ascii="Times New Roman" w:hAnsi="Times New Roman" w:eastAsia="宋体" w:cs="Times New Roman"/>
          <w:color w:val="auto"/>
          <w:sz w:val="24"/>
          <w:highlight w:val="none"/>
        </w:rPr>
        <w:t>-原料；</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颗粒物产物系数：</w:t>
      </w:r>
      <w:r>
        <w:rPr>
          <w:rFonts w:hint="eastAsia" w:ascii="Times New Roman" w:hAnsi="Times New Roman" w:eastAsia="宋体" w:cs="Times New Roman"/>
          <w:color w:val="auto"/>
          <w:sz w:val="24"/>
          <w:highlight w:val="none"/>
          <w:lang w:val="en-US" w:eastAsia="zh-CN"/>
        </w:rPr>
        <w:t>G</w:t>
      </w:r>
      <w:r>
        <w:rPr>
          <w:rFonts w:hint="eastAsia" w:ascii="Times New Roman" w:hAnsi="Times New Roman" w:eastAsia="宋体" w:cs="Times New Roman"/>
          <w:color w:val="auto"/>
          <w:sz w:val="24"/>
          <w:highlight w:val="none"/>
          <w:vertAlign w:val="subscript"/>
          <w:lang w:val="en-US" w:eastAsia="zh-CN"/>
        </w:rPr>
        <w:t>颗粒物</w:t>
      </w:r>
      <w:r>
        <w:rPr>
          <w:rFonts w:hint="eastAsia" w:ascii="Times New Roman" w:hAnsi="Times New Roman" w:eastAsia="宋体" w:cs="Times New Roman"/>
          <w:color w:val="auto"/>
          <w:sz w:val="24"/>
          <w:highlight w:val="none"/>
          <w:lang w:val="en-US" w:eastAsia="zh-CN"/>
        </w:rPr>
        <w:t>=0.5千克/吨-原料</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C=G/W烟气</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式中：C——污染物的产生浓度；</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 xml:space="preserve">      W——烟气-锅炉烟气量</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Nm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 xml:space="preserve">      G——污染源的产生量</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mg/t）</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本项目生物质锅炉大气污染物产排情况见表3.4.2.2-1。</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3.4.2.2-1</w:t>
      </w:r>
      <w:r>
        <w:rPr>
          <w:rFonts w:hint="eastAsia"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rPr>
        <w:t>锅炉大气污染物产生及排放情况</w:t>
      </w:r>
    </w:p>
    <w:tbl>
      <w:tblPr>
        <w:tblStyle w:val="23"/>
        <w:tblW w:w="87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2146"/>
        <w:gridCol w:w="1463"/>
        <w:gridCol w:w="1393"/>
        <w:gridCol w:w="1277"/>
        <w:gridCol w:w="1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113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污染源</w:t>
            </w:r>
          </w:p>
        </w:tc>
        <w:tc>
          <w:tcPr>
            <w:tcW w:w="214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烟气量</w:t>
            </w:r>
          </w:p>
        </w:tc>
        <w:tc>
          <w:tcPr>
            <w:tcW w:w="146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污染物</w:t>
            </w:r>
          </w:p>
        </w:tc>
        <w:tc>
          <w:tcPr>
            <w:tcW w:w="267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产生及排放情况</w:t>
            </w:r>
          </w:p>
        </w:tc>
        <w:tc>
          <w:tcPr>
            <w:tcW w:w="136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排放标准</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mg/Nm</w:t>
            </w:r>
            <w:r>
              <w:rPr>
                <w:rFonts w:ascii="Times New Roman" w:hAnsi="Times New Roman" w:eastAsia="宋体" w:cs="Times New Roman"/>
                <w:color w:val="auto"/>
                <w:spacing w:val="0"/>
                <w:w w:val="100"/>
                <w:position w:val="0"/>
                <w:sz w:val="21"/>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138" w:type="dxa"/>
            <w:vMerge w:val="continue"/>
            <w:tcBorders>
              <w:tl2br w:val="nil"/>
              <w:tr2bl w:val="nil"/>
            </w:tcBorders>
            <w:shd w:val="clear" w:color="auto" w:fill="B3B3B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2146"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1463"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1393"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mg/m</w:t>
            </w:r>
            <w:r>
              <w:rPr>
                <w:rFonts w:ascii="Times New Roman" w:hAnsi="Times New Roman" w:eastAsia="宋体" w:cs="Times New Roman"/>
                <w:color w:val="auto"/>
                <w:spacing w:val="0"/>
                <w:w w:val="100"/>
                <w:position w:val="0"/>
                <w:sz w:val="21"/>
                <w:szCs w:val="21"/>
                <w:highlight w:val="none"/>
                <w:vertAlign w:val="superscript"/>
              </w:rPr>
              <w:t>3</w:t>
            </w:r>
          </w:p>
        </w:tc>
        <w:tc>
          <w:tcPr>
            <w:tcW w:w="127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t/a</w:t>
            </w:r>
          </w:p>
        </w:tc>
        <w:tc>
          <w:tcPr>
            <w:tcW w:w="1360" w:type="dxa"/>
            <w:vMerge w:val="continue"/>
            <w:tcBorders>
              <w:tl2br w:val="nil"/>
              <w:tr2bl w:val="nil"/>
            </w:tcBorders>
            <w:shd w:val="clear" w:color="auto" w:fill="B3B3B3"/>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3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3</w:t>
            </w:r>
            <w:r>
              <w:rPr>
                <w:rFonts w:ascii="Times New Roman" w:hAnsi="Times New Roman" w:eastAsia="宋体" w:cs="Times New Roman"/>
                <w:color w:val="auto"/>
                <w:spacing w:val="0"/>
                <w:w w:val="100"/>
                <w:position w:val="0"/>
                <w:sz w:val="21"/>
                <w:szCs w:val="21"/>
                <w:highlight w:val="none"/>
              </w:rPr>
              <w:t>5</w:t>
            </w:r>
            <w:r>
              <w:rPr>
                <w:rFonts w:hint="eastAsia" w:ascii="Times New Roman" w:hAnsi="Times New Roman" w:eastAsia="宋体" w:cs="Times New Roman"/>
                <w:color w:val="auto"/>
                <w:spacing w:val="0"/>
                <w:w w:val="100"/>
                <w:position w:val="0"/>
                <w:sz w:val="21"/>
                <w:szCs w:val="21"/>
                <w:highlight w:val="none"/>
                <w:lang w:val="en-US" w:eastAsia="zh-CN"/>
              </w:rPr>
              <w:t>m</w:t>
            </w:r>
            <w:r>
              <w:rPr>
                <w:rFonts w:ascii="Times New Roman" w:hAnsi="Times New Roman" w:eastAsia="宋体" w:cs="Times New Roman"/>
                <w:color w:val="auto"/>
                <w:spacing w:val="0"/>
                <w:w w:val="100"/>
                <w:position w:val="0"/>
                <w:sz w:val="21"/>
                <w:szCs w:val="21"/>
                <w:highlight w:val="none"/>
              </w:rPr>
              <w:t>烟囱</w:t>
            </w:r>
          </w:p>
        </w:tc>
        <w:tc>
          <w:tcPr>
            <w:tcW w:w="214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cs="Times New Roman"/>
                <w:color w:val="auto"/>
                <w:spacing w:val="0"/>
                <w:w w:val="100"/>
                <w:position w:val="0"/>
                <w:sz w:val="21"/>
                <w:szCs w:val="21"/>
                <w:highlight w:val="none"/>
                <w:lang w:val="en-US" w:eastAsia="zh-CN"/>
              </w:rPr>
              <w:t>259.89600</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m</w:t>
            </w:r>
            <w:r>
              <w:rPr>
                <w:rFonts w:ascii="Times New Roman" w:hAnsi="Times New Roman" w:eastAsia="宋体" w:cs="Times New Roman"/>
                <w:color w:val="auto"/>
                <w:spacing w:val="0"/>
                <w:w w:val="100"/>
                <w:position w:val="0"/>
                <w:sz w:val="21"/>
                <w:szCs w:val="21"/>
                <w:highlight w:val="none"/>
                <w:vertAlign w:val="superscript"/>
              </w:rPr>
              <w:t>3</w:t>
            </w:r>
            <w:r>
              <w:rPr>
                <w:rFonts w:ascii="Times New Roman" w:hAnsi="Times New Roman" w:eastAsia="宋体" w:cs="Times New Roman"/>
                <w:color w:val="auto"/>
                <w:spacing w:val="0"/>
                <w:w w:val="100"/>
                <w:position w:val="0"/>
                <w:sz w:val="21"/>
                <w:szCs w:val="21"/>
                <w:highlight w:val="none"/>
              </w:rPr>
              <w:t>/a</w:t>
            </w:r>
            <w:r>
              <w:rPr>
                <w:rFonts w:hint="eastAsia" w:ascii="Times New Roman" w:hAnsi="Times New Roman" w:eastAsia="宋体" w:cs="Times New Roman"/>
                <w:color w:val="auto"/>
                <w:spacing w:val="0"/>
                <w:w w:val="100"/>
                <w:position w:val="0"/>
                <w:sz w:val="21"/>
                <w:szCs w:val="21"/>
                <w:highlight w:val="none"/>
                <w:lang w:eastAsia="zh-CN"/>
              </w:rPr>
              <w:t>）</w:t>
            </w:r>
          </w:p>
        </w:tc>
        <w:tc>
          <w:tcPr>
            <w:tcW w:w="14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颗粒物</w:t>
            </w:r>
          </w:p>
        </w:tc>
        <w:tc>
          <w:tcPr>
            <w:tcW w:w="13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0.24</w:t>
            </w:r>
          </w:p>
        </w:tc>
        <w:tc>
          <w:tcPr>
            <w:tcW w:w="12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0.00625</w:t>
            </w:r>
          </w:p>
        </w:tc>
        <w:tc>
          <w:tcPr>
            <w:tcW w:w="13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3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214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14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SO</w:t>
            </w:r>
            <w:r>
              <w:rPr>
                <w:rFonts w:ascii="Times New Roman" w:hAnsi="Times New Roman" w:eastAsia="宋体" w:cs="Times New Roman"/>
                <w:color w:val="auto"/>
                <w:spacing w:val="0"/>
                <w:w w:val="100"/>
                <w:position w:val="0"/>
                <w:sz w:val="21"/>
                <w:szCs w:val="21"/>
                <w:highlight w:val="none"/>
                <w:vertAlign w:val="subscript"/>
              </w:rPr>
              <w:t>2</w:t>
            </w:r>
          </w:p>
        </w:tc>
        <w:tc>
          <w:tcPr>
            <w:tcW w:w="13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54.</w:t>
            </w:r>
            <w:r>
              <w:rPr>
                <w:rFonts w:hint="eastAsia" w:cs="Times New Roman"/>
                <w:color w:val="auto"/>
                <w:spacing w:val="0"/>
                <w:w w:val="100"/>
                <w:position w:val="0"/>
                <w:sz w:val="21"/>
                <w:szCs w:val="21"/>
                <w:highlight w:val="none"/>
                <w:lang w:val="en-US" w:eastAsia="zh-CN"/>
              </w:rPr>
              <w:t>2</w:t>
            </w:r>
          </w:p>
        </w:tc>
        <w:tc>
          <w:tcPr>
            <w:tcW w:w="12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1.41</w:t>
            </w:r>
          </w:p>
        </w:tc>
        <w:tc>
          <w:tcPr>
            <w:tcW w:w="13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3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214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14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NO</w:t>
            </w:r>
            <w:r>
              <w:rPr>
                <w:rFonts w:ascii="Times New Roman" w:hAnsi="Times New Roman" w:eastAsia="宋体" w:cs="Times New Roman"/>
                <w:color w:val="auto"/>
                <w:spacing w:val="0"/>
                <w:w w:val="100"/>
                <w:position w:val="0"/>
                <w:sz w:val="21"/>
                <w:szCs w:val="21"/>
                <w:highlight w:val="none"/>
                <w:vertAlign w:val="subscript"/>
              </w:rPr>
              <w:t>X</w:t>
            </w:r>
          </w:p>
        </w:tc>
        <w:tc>
          <w:tcPr>
            <w:tcW w:w="13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163.</w:t>
            </w:r>
            <w:r>
              <w:rPr>
                <w:rFonts w:hint="eastAsia" w:cs="Times New Roman"/>
                <w:color w:val="auto"/>
                <w:spacing w:val="0"/>
                <w:w w:val="100"/>
                <w:position w:val="0"/>
                <w:sz w:val="21"/>
                <w:szCs w:val="21"/>
                <w:highlight w:val="none"/>
                <w:lang w:val="en-US" w:eastAsia="zh-CN"/>
              </w:rPr>
              <w:t>5</w:t>
            </w:r>
          </w:p>
        </w:tc>
        <w:tc>
          <w:tcPr>
            <w:tcW w:w="12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4.25</w:t>
            </w:r>
          </w:p>
        </w:tc>
        <w:tc>
          <w:tcPr>
            <w:tcW w:w="13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300</w:t>
            </w:r>
          </w:p>
        </w:tc>
      </w:tr>
    </w:tbl>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《锅炉大气污染物排放标准》（GB13271-2014）中的表2新建锅炉大气标准要求；烟囱高度执行燃煤锅炉房烟囱最低允许高度35m，并高于周围半径200m距离内最高建筑物3m以上。</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污水处理站恶臭</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本项目生产车间及污水处理站会产生恶臭，由于恶臭</w:t>
      </w:r>
      <w:r>
        <w:rPr>
          <w:rFonts w:hint="eastAsia" w:ascii="Times New Roman" w:hAnsi="Times New Roman" w:eastAsia="宋体" w:cs="Times New Roman"/>
          <w:color w:val="auto"/>
          <w:sz w:val="24"/>
          <w:highlight w:val="none"/>
          <w:lang w:eastAsia="zh-CN"/>
        </w:rPr>
        <w:t>成分</w:t>
      </w:r>
      <w:r>
        <w:rPr>
          <w:rFonts w:hint="eastAsia" w:ascii="Times New Roman" w:hAnsi="Times New Roman" w:eastAsia="宋体" w:cs="Times New Roman"/>
          <w:color w:val="auto"/>
          <w:sz w:val="24"/>
          <w:highlight w:val="none"/>
        </w:rPr>
        <w:t>种类多元，衰减机理复杂，源强和衰减量难以准确量化，根据美国EPA的研究，每处理1g的BOD</w:t>
      </w:r>
      <w:r>
        <w:rPr>
          <w:rFonts w:hint="eastAsia" w:ascii="Times New Roman" w:hAnsi="Times New Roman" w:eastAsia="宋体" w:cs="Times New Roman"/>
          <w:color w:val="auto"/>
          <w:sz w:val="24"/>
          <w:highlight w:val="none"/>
          <w:vertAlign w:val="subscript"/>
        </w:rPr>
        <w:t>5</w:t>
      </w:r>
      <w:r>
        <w:rPr>
          <w:rFonts w:hint="eastAsia" w:ascii="Times New Roman" w:hAnsi="Times New Roman" w:eastAsia="宋体" w:cs="Times New Roman"/>
          <w:color w:val="auto"/>
          <w:sz w:val="24"/>
          <w:highlight w:val="none"/>
        </w:rPr>
        <w:t>可产生0.0031g的NH</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和0.00012g的H</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S，</w:t>
      </w:r>
      <w:r>
        <w:rPr>
          <w:rFonts w:hint="eastAsia"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lang w:val="en-US" w:eastAsia="zh-CN"/>
        </w:rPr>
        <w:t>BOD</w:t>
      </w:r>
      <w:r>
        <w:rPr>
          <w:rFonts w:hint="default" w:ascii="Times New Roman" w:hAnsi="Times New Roman" w:eastAsia="宋体" w:cs="Times New Roman"/>
          <w:color w:val="auto"/>
          <w:sz w:val="24"/>
          <w:highlight w:val="none"/>
          <w:vertAlign w:val="subscript"/>
          <w:lang w:val="en-US" w:eastAsia="zh-CN"/>
        </w:rPr>
        <w:t>5</w:t>
      </w:r>
      <w:r>
        <w:rPr>
          <w:rFonts w:hint="default" w:ascii="Times New Roman" w:hAnsi="Times New Roman" w:eastAsia="宋体" w:cs="Times New Roman"/>
          <w:color w:val="auto"/>
          <w:sz w:val="24"/>
          <w:highlight w:val="none"/>
          <w:lang w:val="en-US" w:eastAsia="zh-CN"/>
        </w:rPr>
        <w:t>去除量为</w:t>
      </w:r>
      <w:r>
        <w:rPr>
          <w:rFonts w:hint="eastAsia" w:cs="Times New Roman"/>
          <w:color w:val="auto"/>
          <w:sz w:val="24"/>
          <w:highlight w:val="none"/>
          <w:lang w:val="en-US" w:eastAsia="zh-CN"/>
        </w:rPr>
        <w:t>233.67t</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rPr>
        <w:t>则本项目产生的NH</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和H</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S见表</w:t>
      </w:r>
      <w:r>
        <w:rPr>
          <w:rFonts w:hint="eastAsia" w:ascii="Times New Roman" w:hAnsi="Times New Roman" w:eastAsia="宋体" w:cs="Times New Roman"/>
          <w:color w:val="auto"/>
          <w:sz w:val="24"/>
          <w:highlight w:val="none"/>
          <w:lang w:val="en-US" w:eastAsia="zh-CN"/>
        </w:rPr>
        <w:t>3.4.2.2-2</w:t>
      </w:r>
      <w:r>
        <w:rPr>
          <w:rFonts w:hint="eastAsia" w:ascii="Times New Roman" w:hAnsi="Times New Roman" w:eastAsia="宋体" w:cs="Times New Roman"/>
          <w:color w:val="auto"/>
          <w:sz w:val="24"/>
          <w:highlight w:val="none"/>
        </w:rPr>
        <w:t>。</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3.4.2.2-2</w:t>
      </w:r>
      <w:r>
        <w:rPr>
          <w:rFonts w:hint="eastAsia"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rPr>
        <w:t>NH</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和H</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S产生情况一览表</w:t>
      </w:r>
    </w:p>
    <w:tbl>
      <w:tblPr>
        <w:tblStyle w:val="23"/>
        <w:tblW w:w="88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880"/>
        <w:gridCol w:w="1018"/>
        <w:gridCol w:w="1051"/>
        <w:gridCol w:w="727"/>
        <w:gridCol w:w="727"/>
        <w:gridCol w:w="844"/>
        <w:gridCol w:w="1051"/>
        <w:gridCol w:w="935"/>
        <w:gridCol w:w="7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名称</w:t>
            </w:r>
          </w:p>
        </w:tc>
        <w:tc>
          <w:tcPr>
            <w:tcW w:w="880"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BOD5处理量</w:t>
            </w: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val="en-US" w:eastAsia="zh-CN"/>
              </w:rPr>
              <w:t>t</w:t>
            </w:r>
            <w:r>
              <w:rPr>
                <w:rFonts w:hint="default" w:ascii="Times New Roman" w:hAnsi="Times New Roman" w:eastAsia="宋体" w:cs="Times New Roman"/>
                <w:color w:val="auto"/>
                <w:spacing w:val="0"/>
                <w:w w:val="100"/>
                <w:position w:val="0"/>
                <w:sz w:val="21"/>
                <w:szCs w:val="21"/>
                <w:highlight w:val="none"/>
              </w:rPr>
              <w:t>/</w:t>
            </w:r>
            <w:r>
              <w:rPr>
                <w:rFonts w:hint="default" w:ascii="Times New Roman" w:hAnsi="Times New Roman" w:eastAsia="宋体" w:cs="Times New Roman"/>
                <w:color w:val="auto"/>
                <w:spacing w:val="0"/>
                <w:w w:val="100"/>
                <w:position w:val="0"/>
                <w:sz w:val="21"/>
                <w:szCs w:val="21"/>
                <w:highlight w:val="none"/>
                <w:lang w:val="en-US" w:eastAsia="zh-CN"/>
              </w:rPr>
              <w:t>a</w:t>
            </w:r>
            <w:r>
              <w:rPr>
                <w:rFonts w:hint="default" w:ascii="Times New Roman" w:hAnsi="Times New Roman" w:eastAsia="宋体" w:cs="Times New Roman"/>
                <w:color w:val="auto"/>
                <w:spacing w:val="0"/>
                <w:w w:val="100"/>
                <w:position w:val="0"/>
                <w:sz w:val="21"/>
                <w:szCs w:val="21"/>
                <w:highlight w:val="none"/>
              </w:rPr>
              <w:t>）</w:t>
            </w:r>
          </w:p>
        </w:tc>
        <w:tc>
          <w:tcPr>
            <w:tcW w:w="10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产生量</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val="en-US" w:eastAsia="zh-CN"/>
              </w:rPr>
              <w:t>t/a</w:t>
            </w:r>
            <w:r>
              <w:rPr>
                <w:rFonts w:hint="default" w:ascii="Times New Roman" w:hAnsi="Times New Roman" w:eastAsia="宋体" w:cs="Times New Roman"/>
                <w:color w:val="auto"/>
                <w:spacing w:val="0"/>
                <w:w w:val="100"/>
                <w:position w:val="0"/>
                <w:sz w:val="21"/>
                <w:szCs w:val="21"/>
                <w:highlight w:val="none"/>
              </w:rPr>
              <w:t>）</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产生速率（</w:t>
            </w:r>
            <w:r>
              <w:rPr>
                <w:rFonts w:hint="default" w:ascii="Times New Roman" w:hAnsi="Times New Roman" w:eastAsia="宋体" w:cs="Times New Roman"/>
                <w:color w:val="auto"/>
                <w:spacing w:val="0"/>
                <w:w w:val="100"/>
                <w:position w:val="0"/>
                <w:sz w:val="21"/>
                <w:szCs w:val="21"/>
                <w:highlight w:val="none"/>
                <w:lang w:val="en-US" w:eastAsia="zh-CN"/>
              </w:rPr>
              <w:t>kg/h</w:t>
            </w:r>
            <w:r>
              <w:rPr>
                <w:rFonts w:hint="default" w:ascii="Times New Roman" w:hAnsi="Times New Roman" w:eastAsia="宋体" w:cs="Times New Roman"/>
                <w:color w:val="auto"/>
                <w:spacing w:val="0"/>
                <w:w w:val="100"/>
                <w:position w:val="0"/>
                <w:sz w:val="21"/>
                <w:szCs w:val="21"/>
                <w:highlight w:val="none"/>
                <w:lang w:eastAsia="zh-CN"/>
              </w:rPr>
              <w:t>）</w:t>
            </w:r>
          </w:p>
        </w:tc>
        <w:tc>
          <w:tcPr>
            <w:tcW w:w="7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排放形式</w:t>
            </w:r>
          </w:p>
        </w:tc>
        <w:tc>
          <w:tcPr>
            <w:tcW w:w="7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处理措施</w:t>
            </w: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治理效率</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排放速率（</w:t>
            </w:r>
            <w:r>
              <w:rPr>
                <w:rFonts w:hint="default" w:ascii="Times New Roman" w:hAnsi="Times New Roman" w:eastAsia="宋体" w:cs="Times New Roman"/>
                <w:color w:val="auto"/>
                <w:spacing w:val="0"/>
                <w:w w:val="100"/>
                <w:position w:val="0"/>
                <w:sz w:val="21"/>
                <w:szCs w:val="21"/>
                <w:highlight w:val="none"/>
                <w:lang w:val="en-US" w:eastAsia="zh-CN"/>
              </w:rPr>
              <w:t>kg/h</w:t>
            </w:r>
            <w:r>
              <w:rPr>
                <w:rFonts w:hint="default" w:ascii="Times New Roman" w:hAnsi="Times New Roman" w:eastAsia="宋体" w:cs="Times New Roman"/>
                <w:color w:val="auto"/>
                <w:spacing w:val="0"/>
                <w:w w:val="100"/>
                <w:position w:val="0"/>
                <w:sz w:val="21"/>
                <w:szCs w:val="21"/>
                <w:highlight w:val="none"/>
                <w:lang w:eastAsia="zh-CN"/>
              </w:rPr>
              <w:t>）</w:t>
            </w:r>
          </w:p>
        </w:tc>
        <w:tc>
          <w:tcPr>
            <w:tcW w:w="9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排放量（</w:t>
            </w:r>
            <w:r>
              <w:rPr>
                <w:rFonts w:hint="default" w:ascii="Times New Roman" w:hAnsi="Times New Roman" w:eastAsia="宋体" w:cs="Times New Roman"/>
                <w:color w:val="auto"/>
                <w:spacing w:val="0"/>
                <w:w w:val="100"/>
                <w:position w:val="0"/>
                <w:sz w:val="21"/>
                <w:szCs w:val="21"/>
                <w:highlight w:val="none"/>
                <w:lang w:val="en-US" w:eastAsia="zh-CN"/>
              </w:rPr>
              <w:t>t/a</w:t>
            </w:r>
            <w:r>
              <w:rPr>
                <w:rFonts w:hint="default" w:ascii="Times New Roman" w:hAnsi="Times New Roman" w:eastAsia="宋体" w:cs="Times New Roman"/>
                <w:color w:val="auto"/>
                <w:spacing w:val="0"/>
                <w:w w:val="100"/>
                <w:position w:val="0"/>
                <w:sz w:val="21"/>
                <w:szCs w:val="21"/>
                <w:highlight w:val="none"/>
                <w:lang w:eastAsia="zh-CN"/>
              </w:rPr>
              <w:t>）</w:t>
            </w:r>
          </w:p>
        </w:tc>
        <w:tc>
          <w:tcPr>
            <w:tcW w:w="79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排放时间（</w:t>
            </w:r>
            <w:r>
              <w:rPr>
                <w:rFonts w:hint="default" w:ascii="Times New Roman" w:hAnsi="Times New Roman" w:eastAsia="宋体" w:cs="Times New Roman"/>
                <w:color w:val="auto"/>
                <w:spacing w:val="0"/>
                <w:w w:val="100"/>
                <w:position w:val="0"/>
                <w:sz w:val="21"/>
                <w:szCs w:val="21"/>
                <w:highlight w:val="none"/>
                <w:lang w:val="en-US" w:eastAsia="zh-CN"/>
              </w:rPr>
              <w:t>h</w:t>
            </w:r>
            <w:r>
              <w:rPr>
                <w:rFonts w:hint="default" w:ascii="Times New Roman" w:hAnsi="Times New Roman" w:eastAsia="宋体" w:cs="Times New Roman"/>
                <w:color w:val="auto"/>
                <w:spacing w:val="0"/>
                <w:w w:val="100"/>
                <w:position w:val="0"/>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NH</w:t>
            </w:r>
            <w:r>
              <w:rPr>
                <w:rFonts w:hint="default" w:ascii="Times New Roman" w:hAnsi="Times New Roman" w:eastAsia="宋体" w:cs="Times New Roman"/>
                <w:color w:val="auto"/>
                <w:spacing w:val="0"/>
                <w:w w:val="100"/>
                <w:position w:val="0"/>
                <w:sz w:val="21"/>
                <w:szCs w:val="21"/>
                <w:highlight w:val="none"/>
                <w:vertAlign w:val="subscript"/>
              </w:rPr>
              <w:t>3</w:t>
            </w:r>
          </w:p>
        </w:tc>
        <w:tc>
          <w:tcPr>
            <w:tcW w:w="88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233.67</w:t>
            </w:r>
          </w:p>
        </w:tc>
        <w:tc>
          <w:tcPr>
            <w:tcW w:w="10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0.72</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0.091</w:t>
            </w:r>
          </w:p>
        </w:tc>
        <w:tc>
          <w:tcPr>
            <w:tcW w:w="727"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有组织排放</w:t>
            </w:r>
          </w:p>
        </w:tc>
        <w:tc>
          <w:tcPr>
            <w:tcW w:w="727"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eastAsia="zh-CN"/>
              </w:rPr>
              <w:t>负压集气</w:t>
            </w:r>
            <w:r>
              <w:rPr>
                <w:rFonts w:hint="default" w:ascii="Times New Roman" w:hAnsi="Times New Roman" w:eastAsia="宋体" w:cs="Times New Roman"/>
                <w:color w:val="auto"/>
                <w:spacing w:val="0"/>
                <w:w w:val="100"/>
                <w:position w:val="0"/>
                <w:sz w:val="21"/>
                <w:szCs w:val="21"/>
                <w:highlight w:val="none"/>
                <w:lang w:val="en-US" w:eastAsia="zh-CN"/>
              </w:rPr>
              <w:t>+活性炭吸附+15米高排气筒</w:t>
            </w:r>
          </w:p>
        </w:tc>
        <w:tc>
          <w:tcPr>
            <w:tcW w:w="84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eastAsia="zh-CN"/>
              </w:rPr>
              <w:t>收集效率</w:t>
            </w:r>
            <w:r>
              <w:rPr>
                <w:rFonts w:hint="default" w:ascii="Times New Roman" w:hAnsi="Times New Roman" w:eastAsia="宋体" w:cs="Times New Roman"/>
                <w:color w:val="auto"/>
                <w:spacing w:val="0"/>
                <w:w w:val="100"/>
                <w:position w:val="0"/>
                <w:sz w:val="21"/>
                <w:szCs w:val="21"/>
                <w:highlight w:val="none"/>
                <w:lang w:val="en-US" w:eastAsia="zh-CN"/>
              </w:rPr>
              <w:t>90%，治理效率90%</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0.0082</w:t>
            </w:r>
          </w:p>
        </w:tc>
        <w:tc>
          <w:tcPr>
            <w:tcW w:w="9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0.0648</w:t>
            </w:r>
          </w:p>
        </w:tc>
        <w:tc>
          <w:tcPr>
            <w:tcW w:w="792"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7920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H</w:t>
            </w:r>
            <w:r>
              <w:rPr>
                <w:rFonts w:hint="default" w:ascii="Times New Roman" w:hAnsi="Times New Roman" w:eastAsia="宋体" w:cs="Times New Roman"/>
                <w:color w:val="auto"/>
                <w:spacing w:val="0"/>
                <w:w w:val="100"/>
                <w:position w:val="0"/>
                <w:sz w:val="21"/>
                <w:szCs w:val="21"/>
                <w:highlight w:val="none"/>
                <w:vertAlign w:val="subscript"/>
              </w:rPr>
              <w:t>2</w:t>
            </w:r>
            <w:r>
              <w:rPr>
                <w:rFonts w:hint="default" w:ascii="Times New Roman" w:hAnsi="Times New Roman" w:eastAsia="宋体" w:cs="Times New Roman"/>
                <w:color w:val="auto"/>
                <w:spacing w:val="0"/>
                <w:w w:val="100"/>
                <w:position w:val="0"/>
                <w:sz w:val="21"/>
                <w:szCs w:val="21"/>
                <w:highlight w:val="none"/>
              </w:rPr>
              <w:t>S</w:t>
            </w:r>
          </w:p>
        </w:tc>
        <w:tc>
          <w:tcPr>
            <w:tcW w:w="88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color w:val="auto"/>
                <w:spacing w:val="0"/>
                <w:w w:val="100"/>
                <w:position w:val="0"/>
                <w:sz w:val="21"/>
                <w:szCs w:val="21"/>
                <w:highlight w:val="none"/>
                <w:lang w:val="en-US" w:eastAsia="zh-CN"/>
              </w:rPr>
            </w:pPr>
          </w:p>
        </w:tc>
        <w:tc>
          <w:tcPr>
            <w:tcW w:w="10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0.028</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0.0035</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p>
        </w:tc>
        <w:tc>
          <w:tcPr>
            <w:tcW w:w="727"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84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0.00032</w:t>
            </w:r>
          </w:p>
        </w:tc>
        <w:tc>
          <w:tcPr>
            <w:tcW w:w="9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0.00252</w:t>
            </w:r>
          </w:p>
        </w:tc>
        <w:tc>
          <w:tcPr>
            <w:tcW w:w="79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rPr>
              <w:t>NH</w:t>
            </w:r>
            <w:r>
              <w:rPr>
                <w:rFonts w:hint="default" w:ascii="Times New Roman" w:hAnsi="Times New Roman" w:eastAsia="宋体" w:cs="Times New Roman"/>
                <w:color w:val="auto"/>
                <w:spacing w:val="0"/>
                <w:w w:val="100"/>
                <w:position w:val="0"/>
                <w:sz w:val="21"/>
                <w:szCs w:val="21"/>
                <w:highlight w:val="none"/>
                <w:vertAlign w:val="subscript"/>
              </w:rPr>
              <w:t>3</w:t>
            </w:r>
          </w:p>
        </w:tc>
        <w:tc>
          <w:tcPr>
            <w:tcW w:w="88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10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0.072</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0.009</w:t>
            </w:r>
          </w:p>
        </w:tc>
        <w:tc>
          <w:tcPr>
            <w:tcW w:w="727"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无组织排放</w:t>
            </w:r>
          </w:p>
        </w:tc>
        <w:tc>
          <w:tcPr>
            <w:tcW w:w="7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cs="Times New Roman"/>
                <w:color w:val="auto"/>
                <w:spacing w:val="0"/>
                <w:w w:val="100"/>
                <w:position w:val="0"/>
                <w:sz w:val="21"/>
                <w:szCs w:val="21"/>
                <w:highlight w:val="none"/>
                <w:lang w:val="en-US" w:eastAsia="zh-CN"/>
              </w:rPr>
              <w:t>0.009</w:t>
            </w:r>
          </w:p>
        </w:tc>
        <w:tc>
          <w:tcPr>
            <w:tcW w:w="9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cs="Times New Roman"/>
                <w:color w:val="auto"/>
                <w:spacing w:val="0"/>
                <w:w w:val="100"/>
                <w:position w:val="0"/>
                <w:sz w:val="21"/>
                <w:szCs w:val="21"/>
                <w:highlight w:val="none"/>
                <w:lang w:val="en-US" w:eastAsia="zh-CN"/>
              </w:rPr>
              <w:t>0.072</w:t>
            </w:r>
          </w:p>
        </w:tc>
        <w:tc>
          <w:tcPr>
            <w:tcW w:w="79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rPr>
              <w:t>H</w:t>
            </w:r>
            <w:r>
              <w:rPr>
                <w:rFonts w:hint="default" w:ascii="Times New Roman" w:hAnsi="Times New Roman" w:eastAsia="宋体" w:cs="Times New Roman"/>
                <w:color w:val="auto"/>
                <w:spacing w:val="0"/>
                <w:w w:val="100"/>
                <w:position w:val="0"/>
                <w:sz w:val="21"/>
                <w:szCs w:val="21"/>
                <w:highlight w:val="none"/>
                <w:vertAlign w:val="subscript"/>
              </w:rPr>
              <w:t>2</w:t>
            </w:r>
            <w:r>
              <w:rPr>
                <w:rFonts w:hint="default" w:ascii="Times New Roman" w:hAnsi="Times New Roman" w:eastAsia="宋体" w:cs="Times New Roman"/>
                <w:color w:val="auto"/>
                <w:spacing w:val="0"/>
                <w:w w:val="100"/>
                <w:position w:val="0"/>
                <w:sz w:val="21"/>
                <w:szCs w:val="21"/>
                <w:highlight w:val="none"/>
              </w:rPr>
              <w:t>S</w:t>
            </w:r>
          </w:p>
        </w:tc>
        <w:tc>
          <w:tcPr>
            <w:tcW w:w="88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10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0.0028</w:t>
            </w: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 w:val="21"/>
                <w:szCs w:val="21"/>
                <w:highlight w:val="none"/>
                <w:lang w:val="en-US" w:eastAsia="zh-CN"/>
              </w:rPr>
              <w:t>0.00035</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72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c>
          <w:tcPr>
            <w:tcW w:w="105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cs="Times New Roman"/>
                <w:color w:val="auto"/>
                <w:spacing w:val="0"/>
                <w:w w:val="100"/>
                <w:position w:val="0"/>
                <w:sz w:val="21"/>
                <w:szCs w:val="21"/>
                <w:highlight w:val="none"/>
                <w:lang w:val="en-US" w:eastAsia="zh-CN"/>
              </w:rPr>
              <w:t>0.00035</w:t>
            </w:r>
          </w:p>
        </w:tc>
        <w:tc>
          <w:tcPr>
            <w:tcW w:w="9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cs="Times New Roman"/>
                <w:color w:val="auto"/>
                <w:spacing w:val="0"/>
                <w:w w:val="100"/>
                <w:position w:val="0"/>
                <w:sz w:val="21"/>
                <w:szCs w:val="21"/>
                <w:highlight w:val="none"/>
                <w:lang w:val="en-US" w:eastAsia="zh-CN"/>
              </w:rPr>
              <w:t>0.0028</w:t>
            </w:r>
          </w:p>
        </w:tc>
        <w:tc>
          <w:tcPr>
            <w:tcW w:w="79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p>
        </w:tc>
      </w:tr>
    </w:tbl>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本项目</w:t>
      </w:r>
      <w:r>
        <w:rPr>
          <w:rFonts w:hint="eastAsia" w:ascii="Times New Roman" w:hAnsi="Times New Roman" w:eastAsia="宋体" w:cs="Times New Roman"/>
          <w:color w:val="auto"/>
          <w:sz w:val="24"/>
          <w:highlight w:val="none"/>
        </w:rPr>
        <w:t>有组织废气排放口NH</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、H</w:t>
      </w:r>
      <w:r>
        <w:rPr>
          <w:rFonts w:hint="eastAsia" w:ascii="Times New Roman" w:hAnsi="Times New Roman" w:eastAsia="宋体" w:cs="Times New Roman"/>
          <w:color w:val="auto"/>
          <w:sz w:val="24"/>
          <w:highlight w:val="none"/>
          <w:vertAlign w:val="subscript"/>
        </w:rPr>
        <w:t>2</w:t>
      </w:r>
      <w:r>
        <w:rPr>
          <w:rFonts w:hint="eastAsia" w:ascii="Times New Roman" w:hAnsi="Times New Roman" w:eastAsia="宋体" w:cs="Times New Roman"/>
          <w:color w:val="auto"/>
          <w:sz w:val="24"/>
          <w:highlight w:val="none"/>
        </w:rPr>
        <w:t>S、臭气浓度执行《恶臭污染物排放标准》（GB14554-93）表2恶臭污染物排放标准值</w:t>
      </w:r>
      <w:r>
        <w:rPr>
          <w:rFonts w:hint="eastAsia" w:cs="Times New Roman"/>
          <w:color w:val="auto"/>
          <w:sz w:val="24"/>
          <w:highlight w:val="none"/>
          <w:lang w:eastAsia="zh-CN"/>
        </w:rPr>
        <w:t>，污水处理站封闭，及时清掏污泥、加强厂区绿化，尽量控制无组织气体排放量，经大气稀释扩散后无组织H</w:t>
      </w:r>
      <w:r>
        <w:rPr>
          <w:rFonts w:hint="eastAsia" w:cs="Times New Roman"/>
          <w:color w:val="auto"/>
          <w:sz w:val="24"/>
          <w:highlight w:val="none"/>
          <w:vertAlign w:val="subscript"/>
          <w:lang w:eastAsia="zh-CN"/>
        </w:rPr>
        <w:t>2</w:t>
      </w:r>
      <w:r>
        <w:rPr>
          <w:rFonts w:hint="eastAsia" w:cs="Times New Roman"/>
          <w:color w:val="auto"/>
          <w:sz w:val="24"/>
          <w:highlight w:val="none"/>
          <w:lang w:eastAsia="zh-CN"/>
        </w:rPr>
        <w:t>S、NH</w:t>
      </w:r>
      <w:r>
        <w:rPr>
          <w:rFonts w:hint="eastAsia" w:cs="Times New Roman"/>
          <w:color w:val="auto"/>
          <w:sz w:val="24"/>
          <w:highlight w:val="none"/>
          <w:vertAlign w:val="subscript"/>
          <w:lang w:eastAsia="zh-CN"/>
        </w:rPr>
        <w:t>3</w:t>
      </w:r>
      <w:r>
        <w:rPr>
          <w:rFonts w:hint="eastAsia" w:cs="Times New Roman"/>
          <w:color w:val="auto"/>
          <w:sz w:val="24"/>
          <w:highlight w:val="none"/>
          <w:lang w:eastAsia="zh-CN"/>
        </w:rPr>
        <w:t>、臭气浓度可满足《恶臭污染物排放标准》（GB14554-93）表1中二级新扩改建标准恶臭污染物厂界标准限值要求。</w:t>
      </w:r>
    </w:p>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bidi="ar-SA"/>
        </w:rPr>
      </w:pPr>
      <w:r>
        <w:rPr>
          <w:rFonts w:hint="eastAsia" w:ascii="Times New Roman" w:hAnsi="Times New Roman" w:eastAsia="宋体" w:cs="Times New Roman"/>
          <w:b/>
          <w:bCs/>
          <w:color w:val="auto"/>
          <w:szCs w:val="20"/>
          <w:highlight w:val="none"/>
          <w:lang w:val="en-US" w:eastAsia="zh-CN" w:bidi="ar-SA"/>
        </w:rPr>
        <w:t>3.4.2.3</w:t>
      </w:r>
      <w:r>
        <w:rPr>
          <w:rFonts w:hint="eastAsia" w:ascii="Times New Roman" w:hAnsi="Times New Roman" w:eastAsia="宋体" w:cs="Times New Roman"/>
          <w:b/>
          <w:bCs/>
          <w:color w:val="auto"/>
          <w:szCs w:val="20"/>
          <w:highlight w:val="none"/>
          <w:lang w:val="en-US" w:bidi="ar-SA"/>
        </w:rPr>
        <w:t>噪声</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本项目噪声污染源主要为生产车间的碎浆机、磨浆机、锅炉房风机等设备，其噪声源强详见表</w:t>
      </w:r>
      <w:r>
        <w:rPr>
          <w:rFonts w:hint="eastAsia" w:ascii="Times New Roman" w:hAnsi="Times New Roman" w:eastAsia="宋体" w:cs="Times New Roman"/>
          <w:color w:val="auto"/>
          <w:sz w:val="24"/>
          <w:highlight w:val="none"/>
          <w:lang w:val="en-US" w:eastAsia="zh-CN"/>
        </w:rPr>
        <w:t>3.4.2.3-1</w:t>
      </w:r>
      <w:r>
        <w:rPr>
          <w:rFonts w:hint="eastAsia" w:ascii="Times New Roman" w:hAnsi="Times New Roman" w:eastAsia="宋体" w:cs="Times New Roman"/>
          <w:color w:val="auto"/>
          <w:sz w:val="24"/>
          <w:highlight w:val="none"/>
        </w:rPr>
        <w:t>。</w:t>
      </w:r>
    </w:p>
    <w:p>
      <w:pPr>
        <w:bidi w:val="0"/>
        <w:spacing w:line="500" w:lineRule="exact"/>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3.4.2.3-1</w:t>
      </w:r>
      <w:r>
        <w:rPr>
          <w:rFonts w:hint="eastAsia"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rPr>
        <w:t>主要设备噪声源强</w:t>
      </w:r>
    </w:p>
    <w:tbl>
      <w:tblPr>
        <w:tblStyle w:val="23"/>
        <w:tblW w:w="869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35"/>
        <w:gridCol w:w="983"/>
        <w:gridCol w:w="435"/>
        <w:gridCol w:w="802"/>
        <w:gridCol w:w="1302"/>
        <w:gridCol w:w="816"/>
        <w:gridCol w:w="1093"/>
        <w:gridCol w:w="844"/>
        <w:gridCol w:w="198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116"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序号</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设备名称</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台数</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所在位置</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声压级（LeqdB（A））</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距厂界位置（</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eastAsia" w:ascii="Times New Roman" w:hAnsi="Times New Roman" w:eastAsia="宋体" w:cs="Times New Roman"/>
                <w:color w:val="auto"/>
                <w:spacing w:val="0"/>
                <w:w w:val="100"/>
                <w:position w:val="0"/>
                <w:sz w:val="21"/>
                <w:szCs w:val="21"/>
                <w:highlight w:val="none"/>
                <w:lang w:eastAsia="zh-CN"/>
              </w:rPr>
              <w:t>）</w:t>
            </w:r>
          </w:p>
        </w:tc>
        <w:tc>
          <w:tcPr>
            <w:tcW w:w="109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治理措施</w:t>
            </w: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降噪效果</w:t>
            </w:r>
          </w:p>
        </w:tc>
        <w:tc>
          <w:tcPr>
            <w:tcW w:w="198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标准限值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469"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15m</w:t>
            </w:r>
            <w:r>
              <w:rPr>
                <w:rFonts w:hint="eastAsia" w:ascii="Times New Roman" w:hAnsi="Times New Roman" w:eastAsia="宋体" w:cs="Times New Roman"/>
                <w:color w:val="auto"/>
                <w:spacing w:val="0"/>
                <w:w w:val="100"/>
                <w:position w:val="0"/>
                <w:sz w:val="21"/>
                <w:szCs w:val="21"/>
                <w:highlight w:val="none"/>
                <w:vertAlign w:val="superscript"/>
                <w:lang w:eastAsia="zh-CN"/>
              </w:rPr>
              <w:t>3</w:t>
            </w:r>
            <w:r>
              <w:rPr>
                <w:rFonts w:hint="eastAsia" w:ascii="Times New Roman" w:hAnsi="Times New Roman" w:eastAsia="宋体" w:cs="Times New Roman"/>
                <w:color w:val="auto"/>
                <w:spacing w:val="0"/>
                <w:w w:val="100"/>
                <w:position w:val="0"/>
                <w:sz w:val="21"/>
                <w:szCs w:val="21"/>
                <w:highlight w:val="none"/>
                <w:lang w:eastAsia="zh-CN"/>
              </w:rPr>
              <w:t>高浓度水利碎浆机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W90</w:t>
            </w:r>
          </w:p>
        </w:tc>
        <w:tc>
          <w:tcPr>
            <w:tcW w:w="1093"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建筑隔声、消声减振</w:t>
            </w: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《工业企业厂界环境噪声排放标准》</w:t>
            </w:r>
            <w:r>
              <w:rPr>
                <w:rFonts w:hint="eastAsia"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eastAsia="zh-CN"/>
              </w:rPr>
              <w:t>GB12348-2008）</w:t>
            </w:r>
            <w:r>
              <w:rPr>
                <w:rFonts w:hint="eastAsia" w:cs="Times New Roman"/>
                <w:color w:val="auto"/>
                <w:spacing w:val="0"/>
                <w:w w:val="100"/>
                <w:position w:val="0"/>
                <w:sz w:val="21"/>
                <w:szCs w:val="21"/>
                <w:highlight w:val="none"/>
                <w:lang w:val="en-US" w:eastAsia="zh-CN"/>
              </w:rPr>
              <w:t>3</w:t>
            </w:r>
            <w:r>
              <w:rPr>
                <w:rFonts w:hint="default" w:ascii="Times New Roman" w:hAnsi="Times New Roman" w:eastAsia="宋体" w:cs="Times New Roman"/>
                <w:color w:val="auto"/>
                <w:spacing w:val="0"/>
                <w:w w:val="100"/>
                <w:position w:val="0"/>
                <w:sz w:val="21"/>
                <w:szCs w:val="21"/>
                <w:highlight w:val="none"/>
                <w:lang w:eastAsia="zh-CN"/>
              </w:rPr>
              <w:t>类标准。</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昼6</w:t>
            </w:r>
            <w:r>
              <w:rPr>
                <w:rFonts w:hint="eastAsia" w:cs="Times New Roman"/>
                <w:color w:val="auto"/>
                <w:spacing w:val="0"/>
                <w:w w:val="100"/>
                <w:position w:val="0"/>
                <w:sz w:val="21"/>
                <w:szCs w:val="21"/>
                <w:highlight w:val="none"/>
                <w:lang w:val="en-US" w:eastAsia="zh-CN"/>
              </w:rPr>
              <w:t>5</w:t>
            </w:r>
            <w:r>
              <w:rPr>
                <w:rFonts w:hint="eastAsia" w:ascii="Times New Roman" w:hAnsi="Times New Roman" w:eastAsia="宋体" w:cs="Times New Roman"/>
                <w:color w:val="auto"/>
                <w:spacing w:val="0"/>
                <w:w w:val="100"/>
                <w:position w:val="0"/>
                <w:sz w:val="21"/>
                <w:szCs w:val="21"/>
                <w:highlight w:val="none"/>
                <w:lang w:val="en-US" w:eastAsia="zh-CN"/>
              </w:rPr>
              <w:t>dB</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夜5</w:t>
            </w:r>
            <w:r>
              <w:rPr>
                <w:rFonts w:hint="eastAsia" w:cs="Times New Roman"/>
                <w:color w:val="auto"/>
                <w:spacing w:val="0"/>
                <w:w w:val="100"/>
                <w:position w:val="0"/>
                <w:sz w:val="21"/>
                <w:szCs w:val="21"/>
                <w:highlight w:val="none"/>
                <w:lang w:val="en-US" w:eastAsia="zh-CN"/>
              </w:rPr>
              <w:t>5</w:t>
            </w:r>
            <w:r>
              <w:rPr>
                <w:rFonts w:hint="eastAsia" w:ascii="Times New Roman" w:hAnsi="Times New Roman" w:eastAsia="宋体" w:cs="Times New Roman"/>
                <w:color w:val="auto"/>
                <w:spacing w:val="0"/>
                <w:w w:val="100"/>
                <w:position w:val="0"/>
                <w:sz w:val="21"/>
                <w:szCs w:val="21"/>
                <w:highlight w:val="none"/>
                <w:lang w:val="en-US" w:eastAsia="zh-CN"/>
              </w:rPr>
              <w:t>dB</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469"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2</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5m</w:t>
            </w:r>
            <w:r>
              <w:rPr>
                <w:rFonts w:hint="eastAsia" w:ascii="Times New Roman" w:hAnsi="Times New Roman" w:eastAsia="宋体" w:cs="Times New Roman"/>
                <w:color w:val="auto"/>
                <w:spacing w:val="0"/>
                <w:w w:val="100"/>
                <w:position w:val="0"/>
                <w:sz w:val="21"/>
                <w:szCs w:val="21"/>
                <w:highlight w:val="none"/>
                <w:vertAlign w:val="superscript"/>
                <w:lang w:eastAsia="zh-CN"/>
              </w:rPr>
              <w:t>3</w:t>
            </w:r>
            <w:r>
              <w:rPr>
                <w:rFonts w:hint="eastAsia" w:ascii="Times New Roman" w:hAnsi="Times New Roman" w:eastAsia="宋体" w:cs="Times New Roman"/>
                <w:color w:val="auto"/>
                <w:spacing w:val="0"/>
                <w:w w:val="100"/>
                <w:position w:val="0"/>
                <w:sz w:val="21"/>
                <w:szCs w:val="21"/>
                <w:highlight w:val="none"/>
                <w:lang w:eastAsia="zh-CN"/>
              </w:rPr>
              <w:t>高浓度水利碎浆机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W90</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3</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1.2m</w:t>
            </w:r>
            <w:r>
              <w:rPr>
                <w:rFonts w:hint="eastAsia" w:ascii="Times New Roman" w:hAnsi="Times New Roman" w:eastAsia="宋体" w:cs="Times New Roman"/>
                <w:color w:val="auto"/>
                <w:spacing w:val="0"/>
                <w:w w:val="100"/>
                <w:position w:val="0"/>
                <w:sz w:val="21"/>
                <w:szCs w:val="21"/>
                <w:highlight w:val="none"/>
                <w:vertAlign w:val="superscript"/>
                <w:lang w:eastAsia="zh-CN"/>
              </w:rPr>
              <w:t>3</w:t>
            </w:r>
            <w:r>
              <w:rPr>
                <w:rFonts w:hint="eastAsia" w:ascii="Times New Roman" w:hAnsi="Times New Roman" w:eastAsia="宋体" w:cs="Times New Roman"/>
                <w:color w:val="auto"/>
                <w:spacing w:val="0"/>
                <w:w w:val="100"/>
                <w:position w:val="0"/>
                <w:sz w:val="21"/>
                <w:szCs w:val="21"/>
                <w:highlight w:val="none"/>
                <w:lang w:eastAsia="zh-CN"/>
              </w:rPr>
              <w:t>压力筛</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70-75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W73</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4</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0.6m</w:t>
            </w:r>
            <w:r>
              <w:rPr>
                <w:rFonts w:hint="eastAsia" w:ascii="Times New Roman" w:hAnsi="Times New Roman" w:eastAsia="宋体" w:cs="Times New Roman"/>
                <w:color w:val="auto"/>
                <w:spacing w:val="0"/>
                <w:w w:val="100"/>
                <w:position w:val="0"/>
                <w:sz w:val="21"/>
                <w:szCs w:val="21"/>
                <w:highlight w:val="none"/>
                <w:vertAlign w:val="superscript"/>
                <w:lang w:eastAsia="zh-CN"/>
              </w:rPr>
              <w:t>3</w:t>
            </w:r>
            <w:r>
              <w:rPr>
                <w:rFonts w:hint="eastAsia" w:ascii="Times New Roman" w:hAnsi="Times New Roman" w:eastAsia="宋体" w:cs="Times New Roman"/>
                <w:color w:val="auto"/>
                <w:spacing w:val="0"/>
                <w:w w:val="100"/>
                <w:position w:val="0"/>
                <w:sz w:val="21"/>
                <w:szCs w:val="21"/>
                <w:highlight w:val="none"/>
                <w:lang w:eastAsia="zh-CN"/>
              </w:rPr>
              <w:t>压力筛</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70-75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S69</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5</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43跳筛</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70-75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W72</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6</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23跳筛</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70-75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S61</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7</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斜筛</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2</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70-75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W61</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8</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浆泵</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14</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70-80</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W66</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9</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木粉筛选机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70-80</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W63</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10</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离心泵</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6</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70-80</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W54</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19"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11</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450双盘磨浆机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4</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75-85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W54</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116"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12</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3600mm平板纸纸机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W51</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13</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切纸机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W50</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5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14</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卷纸机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2</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W35</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106"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15</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生物质蒸汽锅炉</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锅炉房</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70-85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W13</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4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16</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引风机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锅炉房</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W13</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74" w:hRule="atLeast"/>
          <w:jc w:val="center"/>
        </w:trPr>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17</w:t>
            </w:r>
          </w:p>
        </w:tc>
        <w:tc>
          <w:tcPr>
            <w:tcW w:w="983"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鼓风机</w:t>
            </w:r>
          </w:p>
        </w:tc>
        <w:tc>
          <w:tcPr>
            <w:tcW w:w="43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锅炉房</w:t>
            </w:r>
          </w:p>
        </w:tc>
        <w:tc>
          <w:tcPr>
            <w:tcW w:w="130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80-85</w:t>
            </w:r>
          </w:p>
        </w:tc>
        <w:tc>
          <w:tcPr>
            <w:tcW w:w="8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W13</w:t>
            </w:r>
          </w:p>
        </w:tc>
        <w:tc>
          <w:tcPr>
            <w:tcW w:w="1093"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c>
          <w:tcPr>
            <w:tcW w:w="84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30</w:t>
            </w:r>
          </w:p>
        </w:tc>
        <w:tc>
          <w:tcPr>
            <w:tcW w:w="198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p>
        </w:tc>
      </w:tr>
    </w:tbl>
    <w:p>
      <w:pPr>
        <w:keepNext/>
        <w:keepLines/>
        <w:numPr>
          <w:ilvl w:val="0"/>
          <w:numId w:val="0"/>
        </w:numPr>
        <w:autoSpaceDE/>
        <w:autoSpaceDN/>
        <w:bidi w:val="0"/>
        <w:spacing w:before="0" w:after="0" w:line="500" w:lineRule="exact"/>
        <w:ind w:right="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3.4.2.4固体废物</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本项目运营期固体废物主要为</w:t>
      </w:r>
      <w:r>
        <w:rPr>
          <w:rFonts w:hint="eastAsia" w:ascii="Times New Roman" w:cs="Times New Roman"/>
          <w:color w:val="auto"/>
          <w:sz w:val="24"/>
          <w:highlight w:val="none"/>
          <w:lang w:val="en-US" w:eastAsia="zh-CN"/>
        </w:rPr>
        <w:t>生活垃圾、浆料分离产生的杂质、</w:t>
      </w:r>
      <w:r>
        <w:rPr>
          <w:rFonts w:ascii="Times New Roman" w:hAnsi="Times New Roman" w:eastAsia="宋体" w:cs="Times New Roman"/>
          <w:color w:val="auto"/>
          <w:sz w:val="24"/>
          <w:highlight w:val="none"/>
        </w:rPr>
        <w:t>污水处理站固体废物</w:t>
      </w:r>
      <w:r>
        <w:rPr>
          <w:rFonts w:hint="eastAsia" w:ascii="Times New Roman" w:hAnsi="Times New Roman" w:eastAsia="宋体" w:cs="Times New Roman"/>
          <w:color w:val="auto"/>
          <w:sz w:val="24"/>
          <w:highlight w:val="none"/>
          <w:lang w:eastAsia="zh-CN"/>
        </w:rPr>
        <w:t>、燃料灰渣、</w:t>
      </w:r>
      <w:r>
        <w:rPr>
          <w:rFonts w:hint="eastAsia" w:ascii="Times New Roman" w:hAnsi="Times New Roman" w:eastAsia="宋体" w:cs="Times New Roman"/>
          <w:color w:val="auto"/>
          <w:sz w:val="24"/>
          <w:highlight w:val="none"/>
          <w:lang w:val="en-US" w:eastAsia="zh-CN"/>
        </w:rPr>
        <w:t>锅炉炉渣和捕集到的飞灰、</w:t>
      </w:r>
      <w:r>
        <w:rPr>
          <w:rFonts w:hint="eastAsia" w:ascii="Times New Roman" w:hAnsi="Times New Roman" w:eastAsia="宋体" w:cs="Times New Roman"/>
          <w:color w:val="auto"/>
          <w:sz w:val="24"/>
          <w:highlight w:val="none"/>
          <w:lang w:eastAsia="zh-CN"/>
        </w:rPr>
        <w:t>废离子交换树脂、废润滑油</w:t>
      </w:r>
      <w:r>
        <w:rPr>
          <w:rFonts w:ascii="Times New Roman" w:hAnsi="Times New Roman" w:eastAsia="宋体" w:cs="Times New Roman"/>
          <w:color w:val="auto"/>
          <w:sz w:val="24"/>
          <w:highlight w:val="none"/>
        </w:rPr>
        <w:t>，</w:t>
      </w:r>
      <w:r>
        <w:rPr>
          <w:rFonts w:hint="eastAsia" w:cs="Times New Roman"/>
          <w:color w:val="auto"/>
          <w:sz w:val="24"/>
          <w:highlight w:val="none"/>
          <w:lang w:val="en-US" w:eastAsia="zh-CN"/>
        </w:rPr>
        <w:t>废活性炭</w:t>
      </w:r>
      <w:r>
        <w:rPr>
          <w:rFonts w:ascii="Times New Roman" w:hAnsi="Times New Roman" w:eastAsia="宋体" w:cs="Times New Roman"/>
          <w:color w:val="auto"/>
          <w:sz w:val="24"/>
          <w:highlight w:val="none"/>
        </w:rPr>
        <w:t>产生情况如下。</w:t>
      </w:r>
    </w:p>
    <w:p>
      <w:pPr>
        <w:bidi w:val="0"/>
        <w:spacing w:line="50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ascii="Times New Roman" w:cs="Times New Roman"/>
          <w:color w:val="auto"/>
          <w:sz w:val="24"/>
          <w:highlight w:val="none"/>
          <w:lang w:val="en-US" w:eastAsia="zh-CN"/>
        </w:rPr>
        <w:t>1</w:t>
      </w:r>
      <w:r>
        <w:rPr>
          <w:rFonts w:ascii="Times New Roman" w:hAnsi="Times New Roman" w:eastAsia="宋体" w:cs="Times New Roman"/>
          <w:color w:val="auto"/>
          <w:sz w:val="24"/>
          <w:highlight w:val="none"/>
        </w:rPr>
        <w:t>）</w:t>
      </w:r>
      <w:r>
        <w:rPr>
          <w:rFonts w:hint="eastAsia" w:ascii="Times New Roman" w:cs="Times New Roman"/>
          <w:color w:val="auto"/>
          <w:sz w:val="24"/>
          <w:highlight w:val="none"/>
          <w:lang w:eastAsia="zh-CN"/>
        </w:rPr>
        <w:t>杂质</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除砂、纤维分离过程产生的砂、土、纤维等杂物，</w:t>
      </w:r>
      <w:r>
        <w:rPr>
          <w:rFonts w:hint="eastAsia" w:ascii="Times New Roman" w:hAnsi="Times New Roman" w:eastAsia="宋体" w:cs="Times New Roman"/>
          <w:color w:val="auto"/>
          <w:sz w:val="24"/>
          <w:highlight w:val="none"/>
          <w:lang w:val="en-US" w:eastAsia="zh-CN"/>
        </w:rPr>
        <w:t>集中收集，综合外售处理</w:t>
      </w:r>
      <w:r>
        <w:rPr>
          <w:rFonts w:ascii="Times New Roman" w:hAnsi="Times New Roman" w:eastAsia="宋体" w:cs="Times New Roman"/>
          <w:color w:val="auto"/>
          <w:sz w:val="24"/>
          <w:highlight w:val="none"/>
        </w:rPr>
        <w:t>。</w:t>
      </w:r>
    </w:p>
    <w:p>
      <w:pPr>
        <w:bidi w:val="0"/>
        <w:spacing w:line="500" w:lineRule="exact"/>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cs="Times New Roman"/>
          <w:color w:val="auto"/>
          <w:sz w:val="24"/>
          <w:highlight w:val="none"/>
          <w:lang w:val="en-US" w:eastAsia="zh-CN"/>
        </w:rPr>
        <w:t>2</w:t>
      </w:r>
      <w:r>
        <w:rPr>
          <w:rFonts w:ascii="Times New Roman" w:hAnsi="Times New Roman" w:eastAsia="宋体" w:cs="Times New Roman"/>
          <w:color w:val="auto"/>
          <w:sz w:val="24"/>
          <w:highlight w:val="none"/>
        </w:rPr>
        <w:t>）污水处理站固体废物</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废水处理设施产生污泥包括一级混凝沉淀、好氧剩余污泥和三级处理物化污泥。根 据《制浆造纸废水治理工程技术规范》</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HJ2011-2012），</w:t>
      </w:r>
      <w:r>
        <w:rPr>
          <w:rFonts w:hint="eastAsia" w:ascii="Times New Roman" w:hAnsi="Times New Roman" w:eastAsia="宋体" w:cs="Times New Roman"/>
          <w:color w:val="auto"/>
          <w:sz w:val="24"/>
          <w:highlight w:val="none"/>
        </w:rPr>
        <w:t>沉淀污泥经</w:t>
      </w:r>
      <w:r>
        <w:rPr>
          <w:rFonts w:hint="eastAsia" w:cs="Times New Roman"/>
          <w:color w:val="auto"/>
          <w:sz w:val="24"/>
          <w:highlight w:val="none"/>
          <w:lang w:eastAsia="zh-CN"/>
        </w:rPr>
        <w:t>脱水机脱水后</w:t>
      </w:r>
      <w:r>
        <w:rPr>
          <w:rFonts w:hint="eastAsia" w:ascii="Times New Roman" w:hAnsi="Times New Roman" w:eastAsia="宋体" w:cs="Times New Roman"/>
          <w:color w:val="auto"/>
          <w:sz w:val="24"/>
          <w:highlight w:val="none"/>
        </w:rPr>
        <w:t>外售砖厂制砖</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废水处理污泥产生量见表</w:t>
      </w:r>
      <w:r>
        <w:rPr>
          <w:rFonts w:hint="eastAsia" w:ascii="Times New Roman" w:hAnsi="Times New Roman" w:eastAsia="宋体" w:cs="Times New Roman"/>
          <w:color w:val="auto"/>
          <w:sz w:val="24"/>
          <w:highlight w:val="none"/>
          <w:lang w:val="en-US" w:eastAsia="zh-CN"/>
        </w:rPr>
        <w:t>3.4.2.4-1</w:t>
      </w:r>
      <w:r>
        <w:rPr>
          <w:rFonts w:ascii="Times New Roman" w:hAnsi="Times New Roman" w:eastAsia="宋体" w:cs="Times New Roman"/>
          <w:color w:val="auto"/>
          <w:sz w:val="24"/>
          <w:highlight w:val="none"/>
        </w:rPr>
        <w:t>和表</w:t>
      </w:r>
      <w:r>
        <w:rPr>
          <w:rFonts w:hint="eastAsia" w:ascii="Times New Roman" w:hAnsi="Times New Roman" w:eastAsia="宋体" w:cs="Times New Roman"/>
          <w:color w:val="auto"/>
          <w:sz w:val="24"/>
          <w:highlight w:val="none"/>
          <w:lang w:val="en-US" w:eastAsia="zh-CN"/>
        </w:rPr>
        <w:t>3.4.2.4-2</w:t>
      </w:r>
      <w:r>
        <w:rPr>
          <w:rFonts w:ascii="Times New Roman" w:hAnsi="Times New Roman" w:eastAsia="宋体" w:cs="Times New Roman"/>
          <w:color w:val="auto"/>
          <w:sz w:val="24"/>
          <w:highlight w:val="none"/>
        </w:rPr>
        <w:t>。</w:t>
      </w:r>
    </w:p>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3.4.2.4-1</w:t>
      </w:r>
      <w:r>
        <w:rPr>
          <w:rFonts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ascii="Times New Roman" w:hAnsi="Times New Roman" w:eastAsia="宋体" w:cs="Times New Roman"/>
          <w:color w:val="auto"/>
          <w:sz w:val="24"/>
          <w:highlight w:val="none"/>
        </w:rPr>
        <w:t>废水处理污泥产生系数一览表</w:t>
      </w:r>
    </w:p>
    <w:p>
      <w:pPr>
        <w:spacing w:line="38" w:lineRule="exact"/>
        <w:rPr>
          <w:rFonts w:ascii="Times New Roman" w:hAnsi="Times New Roman" w:eastAsia="宋体" w:cs="Times New Roman"/>
          <w:color w:val="auto"/>
          <w:spacing w:val="0"/>
          <w:w w:val="99"/>
          <w:position w:val="0"/>
          <w:highlight w:val="none"/>
        </w:rPr>
      </w:pPr>
    </w:p>
    <w:tbl>
      <w:tblPr>
        <w:tblStyle w:val="28"/>
        <w:tblW w:w="889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131"/>
        <w:gridCol w:w="1910"/>
        <w:gridCol w:w="1553"/>
        <w:gridCol w:w="1796"/>
        <w:gridCol w:w="150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54" w:hRule="atLeast"/>
          <w:jc w:val="center"/>
        </w:trPr>
        <w:tc>
          <w:tcPr>
            <w:tcW w:w="213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污泥类别</w:t>
            </w:r>
          </w:p>
        </w:tc>
        <w:tc>
          <w:tcPr>
            <w:tcW w:w="3463"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HJ2011-2012</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摘录）</w:t>
            </w:r>
          </w:p>
        </w:tc>
        <w:tc>
          <w:tcPr>
            <w:tcW w:w="330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本项目取值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9" w:hRule="atLeast"/>
          <w:jc w:val="center"/>
        </w:trPr>
        <w:tc>
          <w:tcPr>
            <w:tcW w:w="21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c>
          <w:tcPr>
            <w:tcW w:w="19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污泥产量</w:t>
            </w:r>
          </w:p>
        </w:tc>
        <w:tc>
          <w:tcPr>
            <w:tcW w:w="1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含水率</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w:t>
            </w:r>
          </w:p>
        </w:tc>
        <w:tc>
          <w:tcPr>
            <w:tcW w:w="1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污泥产量</w:t>
            </w:r>
          </w:p>
        </w:tc>
        <w:tc>
          <w:tcPr>
            <w:tcW w:w="1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含水率</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混凝沉淀污泥</w:t>
            </w:r>
          </w:p>
        </w:tc>
        <w:tc>
          <w:tcPr>
            <w:tcW w:w="19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1.0-1.2kgDS/kgSS</w:t>
            </w:r>
          </w:p>
        </w:tc>
        <w:tc>
          <w:tcPr>
            <w:tcW w:w="1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96-97</w:t>
            </w:r>
          </w:p>
        </w:tc>
        <w:tc>
          <w:tcPr>
            <w:tcW w:w="1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1.0-1.2kgDS/kgSS</w:t>
            </w:r>
          </w:p>
        </w:tc>
        <w:tc>
          <w:tcPr>
            <w:tcW w:w="1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90" w:hRule="atLeast"/>
          <w:jc w:val="center"/>
        </w:trPr>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好氧剩余污泥</w:t>
            </w:r>
          </w:p>
        </w:tc>
        <w:tc>
          <w:tcPr>
            <w:tcW w:w="19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0.3kgDS/kgCOD</w:t>
            </w:r>
          </w:p>
        </w:tc>
        <w:tc>
          <w:tcPr>
            <w:tcW w:w="1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99.2-98.5</w:t>
            </w:r>
          </w:p>
        </w:tc>
        <w:tc>
          <w:tcPr>
            <w:tcW w:w="1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0.3kgDS/kgCOD</w:t>
            </w:r>
          </w:p>
        </w:tc>
        <w:tc>
          <w:tcPr>
            <w:tcW w:w="1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39" w:hRule="atLeast"/>
          <w:jc w:val="center"/>
        </w:trPr>
        <w:tc>
          <w:tcPr>
            <w:tcW w:w="21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三级处理物化污泥</w:t>
            </w:r>
          </w:p>
        </w:tc>
        <w:tc>
          <w:tcPr>
            <w:tcW w:w="19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2kgDS/kgCOD</w:t>
            </w:r>
          </w:p>
        </w:tc>
        <w:tc>
          <w:tcPr>
            <w:tcW w:w="1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98-99</w:t>
            </w:r>
          </w:p>
        </w:tc>
        <w:tc>
          <w:tcPr>
            <w:tcW w:w="1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2kgDS/kgCOD</w:t>
            </w:r>
          </w:p>
        </w:tc>
        <w:tc>
          <w:tcPr>
            <w:tcW w:w="1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98</w:t>
            </w:r>
          </w:p>
        </w:tc>
      </w:tr>
    </w:tbl>
    <w:p>
      <w:pPr>
        <w:bidi w:val="0"/>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3.4.2.4-2</w:t>
      </w:r>
      <w:r>
        <w:rPr>
          <w:rFonts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ascii="Times New Roman" w:hAnsi="Times New Roman" w:eastAsia="宋体" w:cs="Times New Roman"/>
          <w:color w:val="auto"/>
          <w:sz w:val="24"/>
          <w:highlight w:val="none"/>
        </w:rPr>
        <w:t>废水处理污泥产生量一览表</w:t>
      </w:r>
    </w:p>
    <w:p>
      <w:pPr>
        <w:spacing w:line="38" w:lineRule="exact"/>
        <w:rPr>
          <w:rFonts w:ascii="Times New Roman" w:hAnsi="Times New Roman" w:eastAsia="宋体" w:cs="Times New Roman"/>
          <w:color w:val="auto"/>
          <w:spacing w:val="0"/>
          <w:w w:val="99"/>
          <w:position w:val="0"/>
          <w:highlight w:val="none"/>
        </w:rPr>
      </w:pPr>
    </w:p>
    <w:tbl>
      <w:tblPr>
        <w:tblStyle w:val="28"/>
        <w:tblW w:w="885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173"/>
        <w:gridCol w:w="1891"/>
        <w:gridCol w:w="2094"/>
        <w:gridCol w:w="269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3" w:hRule="atLeast"/>
          <w:jc w:val="center"/>
        </w:trPr>
        <w:tc>
          <w:tcPr>
            <w:tcW w:w="2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污泥类别</w:t>
            </w:r>
          </w:p>
        </w:tc>
        <w:tc>
          <w:tcPr>
            <w:tcW w:w="18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污泥绝干量t/a</w:t>
            </w:r>
          </w:p>
        </w:tc>
        <w:tc>
          <w:tcPr>
            <w:tcW w:w="2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处置量t/a</w:t>
            </w:r>
          </w:p>
        </w:tc>
        <w:tc>
          <w:tcPr>
            <w:tcW w:w="26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处置方式</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97" w:hRule="atLeast"/>
          <w:jc w:val="center"/>
        </w:trPr>
        <w:tc>
          <w:tcPr>
            <w:tcW w:w="2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混凝沉淀污泥</w:t>
            </w:r>
          </w:p>
        </w:tc>
        <w:tc>
          <w:tcPr>
            <w:tcW w:w="18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290</w:t>
            </w:r>
          </w:p>
        </w:tc>
        <w:tc>
          <w:tcPr>
            <w:tcW w:w="2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w:t>
            </w:r>
          </w:p>
        </w:tc>
        <w:tc>
          <w:tcPr>
            <w:tcW w:w="26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cs="Times New Roman"/>
                <w:color w:val="auto"/>
                <w:spacing w:val="0"/>
                <w:w w:val="100"/>
                <w:position w:val="0"/>
                <w:sz w:val="21"/>
                <w:szCs w:val="21"/>
                <w:highlight w:val="none"/>
                <w:lang w:val="en-US" w:eastAsia="zh-CN"/>
              </w:rPr>
              <w:t>脱水机脱水后</w:t>
            </w:r>
            <w:r>
              <w:rPr>
                <w:rFonts w:ascii="Times New Roman" w:hAnsi="Times New Roman" w:eastAsia="宋体" w:cs="Times New Roman"/>
                <w:color w:val="auto"/>
                <w:spacing w:val="0"/>
                <w:w w:val="100"/>
                <w:position w:val="0"/>
                <w:sz w:val="21"/>
                <w:szCs w:val="21"/>
                <w:highlight w:val="none"/>
              </w:rPr>
              <w:t>，贮存在</w:t>
            </w:r>
            <w:r>
              <w:rPr>
                <w:rFonts w:hint="eastAsia" w:ascii="Times New Roman" w:hAnsi="Times New Roman" w:eastAsia="宋体" w:cs="Times New Roman"/>
                <w:color w:val="auto"/>
                <w:spacing w:val="0"/>
                <w:w w:val="100"/>
                <w:position w:val="0"/>
                <w:sz w:val="21"/>
                <w:szCs w:val="21"/>
                <w:highlight w:val="none"/>
                <w:lang w:eastAsia="zh-CN"/>
              </w:rPr>
              <w:t>废渣池</w:t>
            </w:r>
            <w:r>
              <w:rPr>
                <w:rFonts w:ascii="Times New Roman" w:hAnsi="Times New Roman" w:eastAsia="宋体" w:cs="Times New Roman"/>
                <w:color w:val="auto"/>
                <w:spacing w:val="0"/>
                <w:w w:val="100"/>
                <w:position w:val="0"/>
                <w:sz w:val="21"/>
                <w:szCs w:val="21"/>
                <w:highlight w:val="none"/>
              </w:rPr>
              <w:t>，</w:t>
            </w:r>
            <w:r>
              <w:rPr>
                <w:rFonts w:hint="eastAsia" w:ascii="Times New Roman" w:hAnsi="Times New Roman" w:eastAsia="宋体" w:cs="Times New Roman"/>
                <w:color w:val="auto"/>
                <w:spacing w:val="0"/>
                <w:w w:val="100"/>
                <w:position w:val="0"/>
                <w:sz w:val="21"/>
                <w:szCs w:val="21"/>
                <w:highlight w:val="none"/>
                <w:lang w:eastAsia="zh-CN"/>
              </w:rPr>
              <w:t>定期外售</w:t>
            </w:r>
            <w:r>
              <w:rPr>
                <w:rFonts w:ascii="Times New Roman" w:hAnsi="Times New Roman" w:eastAsia="宋体" w:cs="Times New Roman"/>
                <w:color w:val="auto"/>
                <w:spacing w:val="0"/>
                <w:w w:val="100"/>
                <w:position w:val="0"/>
                <w:sz w:val="21"/>
                <w:szCs w:val="21"/>
                <w:highlight w:val="none"/>
              </w:rPr>
              <w:t>给砖厂制砖</w:t>
            </w:r>
            <w:r>
              <w:rPr>
                <w:rFonts w:hint="eastAsia" w:ascii="Times New Roman" w:hAnsi="Times New Roman" w:eastAsia="宋体" w:cs="Times New Roman"/>
                <w:color w:val="auto"/>
                <w:spacing w:val="0"/>
                <w:w w:val="100"/>
                <w:position w:val="0"/>
                <w:sz w:val="21"/>
                <w:szCs w:val="21"/>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16" w:hRule="atLeast"/>
          <w:jc w:val="center"/>
        </w:trPr>
        <w:tc>
          <w:tcPr>
            <w:tcW w:w="2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好氧剩余污泥</w:t>
            </w:r>
          </w:p>
        </w:tc>
        <w:tc>
          <w:tcPr>
            <w:tcW w:w="18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9.9</w:t>
            </w:r>
          </w:p>
        </w:tc>
        <w:tc>
          <w:tcPr>
            <w:tcW w:w="2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w:t>
            </w:r>
          </w:p>
        </w:tc>
        <w:tc>
          <w:tcPr>
            <w:tcW w:w="26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26" w:hRule="atLeast"/>
          <w:jc w:val="center"/>
        </w:trPr>
        <w:tc>
          <w:tcPr>
            <w:tcW w:w="2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三级处理物化污泥</w:t>
            </w:r>
          </w:p>
        </w:tc>
        <w:tc>
          <w:tcPr>
            <w:tcW w:w="18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6</w:t>
            </w:r>
          </w:p>
        </w:tc>
        <w:tc>
          <w:tcPr>
            <w:tcW w:w="2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w:t>
            </w:r>
          </w:p>
        </w:tc>
        <w:tc>
          <w:tcPr>
            <w:tcW w:w="26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21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合计</w:t>
            </w:r>
          </w:p>
        </w:tc>
        <w:tc>
          <w:tcPr>
            <w:tcW w:w="18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305.9</w:t>
            </w:r>
          </w:p>
        </w:tc>
        <w:tc>
          <w:tcPr>
            <w:tcW w:w="20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765</w:t>
            </w:r>
            <w:r>
              <w:rPr>
                <w:rFonts w:hint="eastAsia" w:ascii="Times New Roman" w:hAnsi="Times New Roman" w:eastAsia="宋体" w:cs="Times New Roman"/>
                <w:color w:val="auto"/>
                <w:spacing w:val="0"/>
                <w:w w:val="100"/>
                <w:position w:val="0"/>
                <w:sz w:val="21"/>
                <w:szCs w:val="21"/>
                <w:highlight w:val="none"/>
                <w:lang w:eastAsia="zh-CN"/>
              </w:rPr>
              <w:t>（</w:t>
            </w:r>
            <w:r>
              <w:rPr>
                <w:rFonts w:ascii="Times New Roman" w:hAnsi="Times New Roman" w:eastAsia="宋体" w:cs="Times New Roman"/>
                <w:color w:val="auto"/>
                <w:spacing w:val="0"/>
                <w:w w:val="100"/>
                <w:position w:val="0"/>
                <w:sz w:val="21"/>
                <w:szCs w:val="21"/>
                <w:highlight w:val="none"/>
              </w:rPr>
              <w:t>含水60%</w:t>
            </w:r>
            <w:r>
              <w:rPr>
                <w:rFonts w:hint="eastAsia" w:ascii="Times New Roman" w:hAnsi="Times New Roman" w:eastAsia="宋体" w:cs="Times New Roman"/>
                <w:color w:val="auto"/>
                <w:spacing w:val="0"/>
                <w:w w:val="100"/>
                <w:position w:val="0"/>
                <w:sz w:val="21"/>
                <w:szCs w:val="21"/>
                <w:highlight w:val="none"/>
                <w:lang w:eastAsia="zh-CN"/>
              </w:rPr>
              <w:t>）</w:t>
            </w:r>
          </w:p>
        </w:tc>
        <w:tc>
          <w:tcPr>
            <w:tcW w:w="26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ascii="Times New Roman" w:hAnsi="Times New Roman" w:eastAsia="宋体" w:cs="Times New Roman"/>
                <w:color w:val="auto"/>
                <w:spacing w:val="0"/>
                <w:w w:val="100"/>
                <w:position w:val="0"/>
                <w:sz w:val="21"/>
                <w:szCs w:val="21"/>
                <w:highlight w:val="none"/>
              </w:rPr>
            </w:pPr>
          </w:p>
        </w:tc>
      </w:tr>
    </w:tbl>
    <w:p>
      <w:pPr>
        <w:bidi w:val="0"/>
        <w:spacing w:line="500" w:lineRule="exact"/>
        <w:ind w:left="0" w:leftChars="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eastAsia="zh-CN"/>
        </w:rPr>
        <w:t>（</w:t>
      </w:r>
      <w:r>
        <w:rPr>
          <w:rFonts w:hint="eastAsia" w:ascii="Times New Roman"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）锅炉灰渣</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参考《污染源源强核算技术指南 锅炉》（HJ991-2018）中物料衡算法进行核算，</w:t>
      </w:r>
      <w:r>
        <w:rPr>
          <w:rFonts w:hint="default" w:ascii="Times New Roman" w:hAnsi="Times New Roman" w:eastAsia="宋体" w:cs="Times New Roman"/>
          <w:color w:val="auto"/>
          <w:sz w:val="24"/>
          <w:highlight w:val="none"/>
          <w:lang w:val="en-US" w:eastAsia="zh-CN"/>
        </w:rPr>
        <w:t>项目</w:t>
      </w:r>
      <w:r>
        <w:rPr>
          <w:rFonts w:hint="eastAsia" w:ascii="Times New Roman" w:hAnsi="Times New Roman" w:eastAsia="宋体" w:cs="Times New Roman"/>
          <w:color w:val="auto"/>
          <w:sz w:val="24"/>
          <w:highlight w:val="none"/>
          <w:lang w:val="en-US" w:eastAsia="zh-CN"/>
        </w:rPr>
        <w:t>锅炉灰渣产生量约为</w:t>
      </w:r>
      <w:r>
        <w:rPr>
          <w:rFonts w:hint="eastAsia" w:cs="Times New Roman"/>
          <w:color w:val="auto"/>
          <w:sz w:val="24"/>
          <w:highlight w:val="none"/>
          <w:lang w:val="en-US" w:eastAsia="zh-CN"/>
        </w:rPr>
        <w:t>132.28</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lang w:val="en-US" w:eastAsia="zh-CN"/>
        </w:rPr>
        <w:t>、除尘器集尘</w:t>
      </w:r>
      <w:r>
        <w:rPr>
          <w:rFonts w:hint="eastAsia" w:cs="Times New Roman"/>
          <w:color w:val="auto"/>
          <w:sz w:val="24"/>
          <w:highlight w:val="none"/>
          <w:lang w:val="en-US" w:eastAsia="zh-CN"/>
        </w:rPr>
        <w:t>6.3</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lang w:val="en-US" w:eastAsia="zh-CN"/>
        </w:rPr>
        <w:t>，集中收集，综合外售处理。</w:t>
      </w:r>
    </w:p>
    <w:p>
      <w:pPr>
        <w:bidi w:val="0"/>
        <w:spacing w:line="500" w:lineRule="exact"/>
        <w:ind w:left="0" w:leftChars="0"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废离子交换树脂</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本项目产生的固废主要为</w:t>
      </w:r>
      <w:r>
        <w:rPr>
          <w:rFonts w:hint="eastAsia" w:ascii="Times New Roman" w:hAnsi="Times New Roman" w:eastAsia="宋体" w:cs="Times New Roman"/>
          <w:color w:val="auto"/>
          <w:sz w:val="24"/>
          <w:highlight w:val="none"/>
          <w:lang w:val="en-US" w:eastAsia="zh-CN"/>
        </w:rPr>
        <w:t>软化水系统中产生的废离子交换树脂</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依据《国家危险废物名录》（2021），锅炉软化水系统产生的废离子交换树脂已不属于危险废物，判定为一般工业固体废物。废离子交换树脂的产生量约为0.1t/a，由生产厂家上门更换时回收处置</w:t>
      </w:r>
      <w:r>
        <w:rPr>
          <w:rFonts w:hint="eastAsia" w:ascii="Times New Roman"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）废润滑油</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设备在运行过程中，定期需对设备进行维护保养，会产生废润滑油，产生量约为0.1t/a。根据《国家危险废物名录》（2021年版），废机油属于危险废物，其废物类别为HW08，废物代码为900-249-08。废润滑油经收集后暂存于危险废物暂存间内，定期交由有资质单位处理。</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6</w:t>
      </w:r>
      <w:r>
        <w:rPr>
          <w:rFonts w:hint="eastAsia" w:ascii="Times New Roman" w:hAnsi="Times New Roman" w:eastAsia="宋体" w:cs="Times New Roman"/>
          <w:color w:val="auto"/>
          <w:sz w:val="24"/>
          <w:highlight w:val="none"/>
          <w:lang w:val="en-US" w:eastAsia="zh-CN"/>
        </w:rPr>
        <w:t>）废</w:t>
      </w:r>
      <w:r>
        <w:rPr>
          <w:rFonts w:hint="eastAsia" w:ascii="Times New Roman" w:cs="Times New Roman"/>
          <w:color w:val="auto"/>
          <w:sz w:val="24"/>
          <w:highlight w:val="none"/>
          <w:lang w:val="en-US" w:eastAsia="zh-CN"/>
        </w:rPr>
        <w:t>活性炭</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本项目生产过程中产生的恶臭气体经有组织收集后使用</w:t>
      </w:r>
      <w:r>
        <w:rPr>
          <w:rFonts w:hint="eastAsia" w:ascii="Times New Roman" w:cs="Times New Roman"/>
          <w:color w:val="auto"/>
          <w:sz w:val="24"/>
          <w:highlight w:val="none"/>
          <w:lang w:val="en-US" w:eastAsia="zh-CN"/>
        </w:rPr>
        <w:t>活性炭</w:t>
      </w:r>
      <w:r>
        <w:rPr>
          <w:rFonts w:hint="eastAsia" w:ascii="Times New Roman" w:hAnsi="Times New Roman" w:eastAsia="宋体" w:cs="Times New Roman"/>
          <w:color w:val="auto"/>
          <w:sz w:val="24"/>
          <w:highlight w:val="none"/>
          <w:lang w:val="en-US" w:eastAsia="zh-CN"/>
        </w:rPr>
        <w:t>吸附装置进行净化处理。根据中国建筑出版社（1997）出版的《简明通风设计手册》第十章中关于活性吸附处理治理废气的方法中提供的数据：每1.0kg活性炭吸附有机废气的平衡量为0.43～0.61kg，本项目取每1.0kg活性炭吸附有机废气量为0.52kg。本项目废气去除量为</w:t>
      </w:r>
      <w:r>
        <w:rPr>
          <w:rFonts w:hint="eastAsia" w:cs="Times New Roman"/>
          <w:color w:val="auto"/>
          <w:sz w:val="24"/>
          <w:highlight w:val="none"/>
          <w:lang w:val="en-US" w:eastAsia="zh-CN"/>
        </w:rPr>
        <w:t>0.61</w:t>
      </w:r>
      <w:r>
        <w:rPr>
          <w:rFonts w:hint="eastAsia" w:ascii="Times New Roman" w:hAnsi="Times New Roman" w:eastAsia="宋体" w:cs="Times New Roman"/>
          <w:color w:val="auto"/>
          <w:sz w:val="24"/>
          <w:highlight w:val="none"/>
          <w:lang w:val="en-US" w:eastAsia="zh-CN"/>
        </w:rPr>
        <w:t>t/a，则需要活性炭的量为</w:t>
      </w:r>
      <w:r>
        <w:rPr>
          <w:rFonts w:hint="eastAsia" w:cs="Times New Roman"/>
          <w:color w:val="auto"/>
          <w:sz w:val="24"/>
          <w:highlight w:val="none"/>
          <w:lang w:val="en-US" w:eastAsia="zh-CN"/>
        </w:rPr>
        <w:t>1.17</w:t>
      </w:r>
      <w:r>
        <w:rPr>
          <w:rFonts w:hint="eastAsia" w:ascii="Times New Roman" w:hAnsi="Times New Roman" w:eastAsia="宋体" w:cs="Times New Roman"/>
          <w:color w:val="auto"/>
          <w:sz w:val="24"/>
          <w:highlight w:val="none"/>
          <w:lang w:val="en-US" w:eastAsia="zh-CN"/>
        </w:rPr>
        <w:t>t/a。废</w:t>
      </w:r>
      <w:r>
        <w:rPr>
          <w:rFonts w:hint="eastAsia" w:ascii="Times New Roman" w:cs="Times New Roman"/>
          <w:color w:val="auto"/>
          <w:sz w:val="24"/>
          <w:highlight w:val="none"/>
          <w:lang w:val="en-US" w:eastAsia="zh-CN"/>
        </w:rPr>
        <w:t>活性炭</w:t>
      </w:r>
      <w:r>
        <w:rPr>
          <w:rFonts w:hint="eastAsia" w:ascii="Times New Roman" w:hAnsi="Times New Roman" w:eastAsia="宋体" w:cs="Times New Roman"/>
          <w:color w:val="auto"/>
          <w:sz w:val="24"/>
          <w:highlight w:val="none"/>
          <w:lang w:val="en-US" w:eastAsia="zh-CN"/>
        </w:rPr>
        <w:t>产生量约</w:t>
      </w:r>
      <w:r>
        <w:rPr>
          <w:rFonts w:hint="eastAsia" w:cs="Times New Roman"/>
          <w:color w:val="auto"/>
          <w:sz w:val="24"/>
          <w:highlight w:val="none"/>
          <w:lang w:val="en-US" w:eastAsia="zh-CN"/>
        </w:rPr>
        <w:t>1.2</w:t>
      </w:r>
      <w:r>
        <w:rPr>
          <w:rFonts w:hint="eastAsia" w:ascii="Times New Roman" w:hAnsi="Times New Roman" w:eastAsia="宋体" w:cs="Times New Roman"/>
          <w:color w:val="auto"/>
          <w:sz w:val="24"/>
          <w:highlight w:val="none"/>
          <w:lang w:val="en-US" w:eastAsia="zh-CN"/>
        </w:rPr>
        <w:t>t/a。根据《国家危险废物名录》（20</w:t>
      </w:r>
      <w:r>
        <w:rPr>
          <w:rFonts w:hint="eastAsia" w:ascii="Times New Roman" w:cs="Times New Roman"/>
          <w:color w:val="auto"/>
          <w:sz w:val="24"/>
          <w:highlight w:val="none"/>
          <w:lang w:val="en-US" w:eastAsia="zh-CN"/>
        </w:rPr>
        <w:t>21</w:t>
      </w:r>
      <w:r>
        <w:rPr>
          <w:rFonts w:hint="eastAsia" w:ascii="Times New Roman" w:hAnsi="Times New Roman" w:eastAsia="宋体" w:cs="Times New Roman"/>
          <w:color w:val="auto"/>
          <w:sz w:val="24"/>
          <w:highlight w:val="none"/>
          <w:lang w:val="en-US" w:eastAsia="zh-CN"/>
        </w:rPr>
        <w:t>年修订），属于HW49中的危险废物，</w:t>
      </w:r>
      <w:r>
        <w:rPr>
          <w:rFonts w:hint="eastAsia" w:ascii="Times New Roman" w:cs="Times New Roman"/>
          <w:color w:val="auto"/>
          <w:sz w:val="24"/>
          <w:highlight w:val="none"/>
          <w:lang w:val="en-US" w:eastAsia="zh-CN"/>
        </w:rPr>
        <w:t>废物代码</w:t>
      </w:r>
      <w:r>
        <w:rPr>
          <w:rFonts w:hint="eastAsia" w:ascii="Times New Roman" w:hAnsi="Times New Roman" w:eastAsia="宋体" w:cs="Times New Roman"/>
          <w:color w:val="auto"/>
          <w:sz w:val="24"/>
          <w:highlight w:val="none"/>
          <w:lang w:val="en-US" w:eastAsia="zh-CN"/>
        </w:rPr>
        <w:t>900-0</w:t>
      </w:r>
      <w:r>
        <w:rPr>
          <w:rFonts w:hint="eastAsia" w:ascii="Times New Roman" w:cs="Times New Roman"/>
          <w:color w:val="auto"/>
          <w:sz w:val="24"/>
          <w:highlight w:val="none"/>
          <w:lang w:val="en-US" w:eastAsia="zh-CN"/>
        </w:rPr>
        <w:t>39</w:t>
      </w:r>
      <w:r>
        <w:rPr>
          <w:rFonts w:hint="eastAsia" w:ascii="Times New Roman" w:hAnsi="Times New Roman" w:eastAsia="宋体" w:cs="Times New Roman"/>
          <w:color w:val="auto"/>
          <w:sz w:val="24"/>
          <w:highlight w:val="none"/>
          <w:lang w:val="en-US" w:eastAsia="zh-CN"/>
        </w:rPr>
        <w:t>-49，暂存于原有危废暂存间内，后定期交由有资质单位处理。</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cs="Times New Roman"/>
          <w:color w:val="auto"/>
          <w:sz w:val="24"/>
          <w:highlight w:val="none"/>
          <w:lang w:val="en-US" w:eastAsia="zh-CN"/>
        </w:rPr>
        <w:t>7</w:t>
      </w:r>
      <w:r>
        <w:rPr>
          <w:rFonts w:hint="eastAsia" w:ascii="Times New Roman" w:hAnsi="Times New Roman" w:eastAsia="宋体" w:cs="Times New Roman"/>
          <w:color w:val="auto"/>
          <w:sz w:val="24"/>
          <w:highlight w:val="none"/>
          <w:lang w:val="en-US" w:eastAsia="zh-CN"/>
        </w:rPr>
        <w:t>）生活垃圾</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运行期工作人员产生的生活垃圾按每人每天0.25kg计算，工作人员约15人，则每天产生生活垃圾3.75kg，每年运行330天，整个运行期工作人员生活垃圾产生量约为1.24t/a。</w:t>
      </w:r>
    </w:p>
    <w:p>
      <w:pPr>
        <w:bidi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zh-CN" w:eastAsia="zh-CN"/>
        </w:rPr>
        <w:t>表</w:t>
      </w:r>
      <w:r>
        <w:rPr>
          <w:rFonts w:hint="eastAsia" w:ascii="Times New Roman" w:hAnsi="Times New Roman" w:eastAsia="宋体" w:cs="Times New Roman"/>
          <w:color w:val="auto"/>
          <w:sz w:val="24"/>
          <w:highlight w:val="none"/>
          <w:lang w:val="en-US" w:eastAsia="zh-CN"/>
        </w:rPr>
        <w:t>3.4.2.4-3</w:t>
      </w:r>
      <w:r>
        <w:rPr>
          <w:rFonts w:hint="default"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lang w:val="en-US" w:eastAsia="zh-CN"/>
        </w:rPr>
        <w:t>危险废物情况一览表</w:t>
      </w:r>
    </w:p>
    <w:tbl>
      <w:tblPr>
        <w:tblStyle w:val="23"/>
        <w:tblW w:w="87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810"/>
        <w:gridCol w:w="797"/>
        <w:gridCol w:w="1224"/>
        <w:gridCol w:w="662"/>
        <w:gridCol w:w="651"/>
        <w:gridCol w:w="436"/>
        <w:gridCol w:w="436"/>
        <w:gridCol w:w="615"/>
        <w:gridCol w:w="436"/>
        <w:gridCol w:w="568"/>
        <w:gridCol w:w="16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3" w:hRule="atLeast"/>
          <w:jc w:val="center"/>
        </w:trPr>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序号</w:t>
            </w:r>
          </w:p>
        </w:tc>
        <w:tc>
          <w:tcPr>
            <w:tcW w:w="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危险废物名称</w:t>
            </w:r>
          </w:p>
        </w:tc>
        <w:tc>
          <w:tcPr>
            <w:tcW w:w="7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危险废物类别</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危险废物代码</w:t>
            </w:r>
          </w:p>
        </w:tc>
        <w:tc>
          <w:tcPr>
            <w:tcW w:w="6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产生量</w:t>
            </w:r>
          </w:p>
        </w:tc>
        <w:tc>
          <w:tcPr>
            <w:tcW w:w="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产生工序</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形态</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主要成分</w:t>
            </w:r>
          </w:p>
        </w:tc>
        <w:tc>
          <w:tcPr>
            <w:tcW w:w="6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有害成分</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产废周期</w:t>
            </w:r>
          </w:p>
        </w:tc>
        <w:tc>
          <w:tcPr>
            <w:tcW w:w="5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危险特性</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1</w:t>
            </w:r>
          </w:p>
        </w:tc>
        <w:tc>
          <w:tcPr>
            <w:tcW w:w="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eastAsia="zh-CN"/>
              </w:rPr>
              <w:t>废润滑油</w:t>
            </w:r>
          </w:p>
        </w:tc>
        <w:tc>
          <w:tcPr>
            <w:tcW w:w="7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HW08</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rPr>
              <w:t>900-</w:t>
            </w:r>
            <w:r>
              <w:rPr>
                <w:rFonts w:hint="eastAsia" w:ascii="Times New Roman" w:hAnsi="Times New Roman" w:eastAsia="宋体" w:cs="Times New Roman"/>
                <w:color w:val="auto"/>
                <w:spacing w:val="0"/>
                <w:w w:val="100"/>
                <w:position w:val="0"/>
                <w:sz w:val="21"/>
                <w:szCs w:val="21"/>
                <w:highlight w:val="none"/>
                <w:lang w:val="en-US" w:eastAsia="zh-CN"/>
              </w:rPr>
              <w:t>249</w:t>
            </w:r>
            <w:r>
              <w:rPr>
                <w:rFonts w:hint="eastAsia" w:ascii="Times New Roman" w:hAnsi="Times New Roman" w:eastAsia="宋体" w:cs="Times New Roman"/>
                <w:color w:val="auto"/>
                <w:spacing w:val="0"/>
                <w:w w:val="100"/>
                <w:position w:val="0"/>
                <w:sz w:val="21"/>
                <w:szCs w:val="21"/>
                <w:highlight w:val="none"/>
              </w:rPr>
              <w:t>-</w:t>
            </w:r>
            <w:r>
              <w:rPr>
                <w:rFonts w:hint="eastAsia" w:ascii="Times New Roman" w:hAnsi="Times New Roman" w:eastAsia="宋体" w:cs="Times New Roman"/>
                <w:color w:val="auto"/>
                <w:spacing w:val="0"/>
                <w:w w:val="100"/>
                <w:position w:val="0"/>
                <w:sz w:val="21"/>
                <w:szCs w:val="21"/>
                <w:highlight w:val="none"/>
                <w:lang w:val="en-US" w:eastAsia="zh-CN"/>
              </w:rPr>
              <w:t>08</w:t>
            </w:r>
          </w:p>
        </w:tc>
        <w:tc>
          <w:tcPr>
            <w:tcW w:w="6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0.1</w:t>
            </w:r>
          </w:p>
        </w:tc>
        <w:tc>
          <w:tcPr>
            <w:tcW w:w="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维修、保养</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液态</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矿物油</w:t>
            </w:r>
          </w:p>
        </w:tc>
        <w:tc>
          <w:tcPr>
            <w:tcW w:w="6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石油类</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每年</w:t>
            </w:r>
          </w:p>
        </w:tc>
        <w:tc>
          <w:tcPr>
            <w:tcW w:w="5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T、I</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危废暂存间暂存后委托有资质到单位处置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8" w:hRule="atLeast"/>
          <w:jc w:val="center"/>
        </w:trPr>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2</w:t>
            </w:r>
          </w:p>
        </w:tc>
        <w:tc>
          <w:tcPr>
            <w:tcW w:w="8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w:t>
            </w:r>
            <w:r>
              <w:rPr>
                <w:rFonts w:hint="eastAsia" w:ascii="Times New Roman" w:cs="Times New Roman"/>
                <w:color w:val="auto"/>
                <w:spacing w:val="0"/>
                <w:w w:val="100"/>
                <w:position w:val="0"/>
                <w:sz w:val="21"/>
                <w:szCs w:val="21"/>
                <w:highlight w:val="none"/>
                <w:lang w:eastAsia="zh-CN"/>
              </w:rPr>
              <w:t>活性炭</w:t>
            </w:r>
          </w:p>
        </w:tc>
        <w:tc>
          <w:tcPr>
            <w:tcW w:w="7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HW49</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900-0</w:t>
            </w:r>
            <w:r>
              <w:rPr>
                <w:rFonts w:hint="eastAsia" w:ascii="Times New Roman" w:cs="Times New Roman"/>
                <w:color w:val="auto"/>
                <w:spacing w:val="0"/>
                <w:w w:val="100"/>
                <w:position w:val="0"/>
                <w:sz w:val="21"/>
                <w:szCs w:val="21"/>
                <w:highlight w:val="none"/>
                <w:lang w:val="en-US" w:eastAsia="zh-CN"/>
              </w:rPr>
              <w:t>39</w:t>
            </w:r>
            <w:r>
              <w:rPr>
                <w:rFonts w:hint="eastAsia" w:ascii="Times New Roman" w:hAnsi="Times New Roman" w:eastAsia="宋体" w:cs="Times New Roman"/>
                <w:color w:val="auto"/>
                <w:spacing w:val="0"/>
                <w:w w:val="100"/>
                <w:position w:val="0"/>
                <w:sz w:val="21"/>
                <w:szCs w:val="21"/>
                <w:highlight w:val="none"/>
                <w:lang w:val="en-US" w:eastAsia="zh-CN"/>
              </w:rPr>
              <w:t>-49</w:t>
            </w:r>
          </w:p>
        </w:tc>
        <w:tc>
          <w:tcPr>
            <w:tcW w:w="6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1.2</w:t>
            </w:r>
          </w:p>
        </w:tc>
        <w:tc>
          <w:tcPr>
            <w:tcW w:w="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废气治理</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固态</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eastAsia="zh-CN"/>
              </w:rPr>
              <w:t>活性炭</w:t>
            </w:r>
          </w:p>
        </w:tc>
        <w:tc>
          <w:tcPr>
            <w:tcW w:w="6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vocs</w:t>
            </w:r>
          </w:p>
        </w:tc>
        <w:tc>
          <w:tcPr>
            <w:tcW w:w="4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每年</w:t>
            </w:r>
          </w:p>
        </w:tc>
        <w:tc>
          <w:tcPr>
            <w:tcW w:w="5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T</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危废暂存间暂存后委托有资质到单位处置</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表3.4.2.4-4           危险废物贮存场所基本情况表</w:t>
      </w:r>
    </w:p>
    <w:tbl>
      <w:tblPr>
        <w:tblStyle w:val="23"/>
        <w:tblW w:w="8836"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41"/>
        <w:gridCol w:w="1196"/>
        <w:gridCol w:w="1240"/>
        <w:gridCol w:w="1239"/>
        <w:gridCol w:w="1263"/>
        <w:gridCol w:w="945"/>
        <w:gridCol w:w="994"/>
        <w:gridCol w:w="91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06" w:hRule="atLeast"/>
          <w:jc w:val="center"/>
        </w:trPr>
        <w:tc>
          <w:tcPr>
            <w:tcW w:w="1041" w:type="dxa"/>
            <w:tcBorders>
              <w:left w:val="nil"/>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贮存场所（设施）名称</w:t>
            </w:r>
          </w:p>
        </w:tc>
        <w:tc>
          <w:tcPr>
            <w:tcW w:w="1196"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危险废物名称</w:t>
            </w:r>
          </w:p>
        </w:tc>
        <w:tc>
          <w:tcPr>
            <w:tcW w:w="1240"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危险废</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物类别</w:t>
            </w:r>
          </w:p>
        </w:tc>
        <w:tc>
          <w:tcPr>
            <w:tcW w:w="1239"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危险废物代码</w:t>
            </w:r>
          </w:p>
        </w:tc>
        <w:tc>
          <w:tcPr>
            <w:tcW w:w="1263"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位置</w:t>
            </w:r>
          </w:p>
        </w:tc>
        <w:tc>
          <w:tcPr>
            <w:tcW w:w="945"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占地面积</w:t>
            </w:r>
          </w:p>
        </w:tc>
        <w:tc>
          <w:tcPr>
            <w:tcW w:w="994" w:type="dxa"/>
            <w:tcBorders>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贮存能力</w:t>
            </w:r>
          </w:p>
        </w:tc>
        <w:tc>
          <w:tcPr>
            <w:tcW w:w="918" w:type="dxa"/>
            <w:tcBorders>
              <w:left w:val="single" w:color="000000" w:sz="2"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贮存周期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87" w:hRule="atLeast"/>
          <w:jc w:val="center"/>
        </w:trPr>
        <w:tc>
          <w:tcPr>
            <w:tcW w:w="1041" w:type="dxa"/>
            <w:tcBorders>
              <w:top w:val="single" w:color="000000" w:sz="2" w:space="0"/>
              <w:left w:val="nil"/>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危废临时贮存间</w:t>
            </w:r>
          </w:p>
        </w:tc>
        <w:tc>
          <w:tcPr>
            <w:tcW w:w="1196"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废机油</w:t>
            </w:r>
          </w:p>
        </w:tc>
        <w:tc>
          <w:tcPr>
            <w:tcW w:w="1240"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HW08</w:t>
            </w:r>
          </w:p>
        </w:tc>
        <w:tc>
          <w:tcPr>
            <w:tcW w:w="1239"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900-214-08</w:t>
            </w:r>
          </w:p>
        </w:tc>
        <w:tc>
          <w:tcPr>
            <w:tcW w:w="1263"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生产车间内部</w:t>
            </w:r>
          </w:p>
        </w:tc>
        <w:tc>
          <w:tcPr>
            <w:tcW w:w="945"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10m</w:t>
            </w:r>
            <w:r>
              <w:rPr>
                <w:rFonts w:hint="default" w:ascii="Times New Roman" w:hAnsi="Times New Roman" w:eastAsia="宋体" w:cs="Times New Roman"/>
                <w:color w:val="auto"/>
                <w:spacing w:val="0"/>
                <w:w w:val="100"/>
                <w:position w:val="0"/>
                <w:sz w:val="21"/>
                <w:szCs w:val="21"/>
                <w:highlight w:val="none"/>
                <w:vertAlign w:val="superscript"/>
              </w:rPr>
              <w:t>2</w:t>
            </w:r>
          </w:p>
        </w:tc>
        <w:tc>
          <w:tcPr>
            <w:tcW w:w="994"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5t</w:t>
            </w:r>
          </w:p>
        </w:tc>
        <w:tc>
          <w:tcPr>
            <w:tcW w:w="918" w:type="dxa"/>
            <w:tcBorders>
              <w:top w:val="single" w:color="000000" w:sz="2" w:space="0"/>
              <w:left w:val="single" w:color="000000" w:sz="2"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rPr>
              <w:t>3-</w:t>
            </w:r>
            <w:r>
              <w:rPr>
                <w:rFonts w:hint="eastAsia" w:ascii="Times New Roman" w:hAnsi="Times New Roman" w:eastAsia="宋体" w:cs="Times New Roman"/>
                <w:color w:val="auto"/>
                <w:spacing w:val="0"/>
                <w:w w:val="100"/>
                <w:position w:val="0"/>
                <w:sz w:val="21"/>
                <w:szCs w:val="21"/>
                <w:highlight w:val="none"/>
                <w:lang w:val="en-US" w:eastAsia="zh-CN"/>
              </w:rPr>
              <w:t>6月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20" w:hRule="atLeast"/>
          <w:jc w:val="center"/>
        </w:trPr>
        <w:tc>
          <w:tcPr>
            <w:tcW w:w="1041" w:type="dxa"/>
            <w:tcBorders>
              <w:top w:val="single" w:color="000000" w:sz="2" w:space="0"/>
              <w:left w:val="nil"/>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rPr>
              <w:t>危废临时贮存间</w:t>
            </w:r>
          </w:p>
        </w:tc>
        <w:tc>
          <w:tcPr>
            <w:tcW w:w="1196"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w:t>
            </w:r>
            <w:r>
              <w:rPr>
                <w:rFonts w:hint="eastAsia" w:ascii="Times New Roman" w:cs="Times New Roman"/>
                <w:color w:val="auto"/>
                <w:spacing w:val="0"/>
                <w:w w:val="100"/>
                <w:position w:val="0"/>
                <w:sz w:val="21"/>
                <w:szCs w:val="21"/>
                <w:highlight w:val="none"/>
                <w:lang w:eastAsia="zh-CN"/>
              </w:rPr>
              <w:t>活性炭</w:t>
            </w:r>
          </w:p>
        </w:tc>
        <w:tc>
          <w:tcPr>
            <w:tcW w:w="1240"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HW49</w:t>
            </w:r>
          </w:p>
        </w:tc>
        <w:tc>
          <w:tcPr>
            <w:tcW w:w="1239"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val="en-US" w:eastAsia="zh-CN"/>
              </w:rPr>
              <w:t>900-0</w:t>
            </w:r>
            <w:r>
              <w:rPr>
                <w:rFonts w:hint="eastAsia" w:ascii="Times New Roman" w:cs="Times New Roman"/>
                <w:color w:val="auto"/>
                <w:spacing w:val="0"/>
                <w:w w:val="100"/>
                <w:position w:val="0"/>
                <w:sz w:val="21"/>
                <w:szCs w:val="21"/>
                <w:highlight w:val="none"/>
                <w:lang w:val="en-US" w:eastAsia="zh-CN"/>
              </w:rPr>
              <w:t>39</w:t>
            </w:r>
            <w:r>
              <w:rPr>
                <w:rFonts w:hint="eastAsia" w:ascii="Times New Roman" w:hAnsi="Times New Roman" w:eastAsia="宋体" w:cs="Times New Roman"/>
                <w:color w:val="auto"/>
                <w:spacing w:val="0"/>
                <w:w w:val="100"/>
                <w:position w:val="0"/>
                <w:sz w:val="21"/>
                <w:szCs w:val="21"/>
                <w:highlight w:val="none"/>
                <w:lang w:val="en-US" w:eastAsia="zh-CN"/>
              </w:rPr>
              <w:t>-49</w:t>
            </w:r>
          </w:p>
        </w:tc>
        <w:tc>
          <w:tcPr>
            <w:tcW w:w="1263"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rPr>
            </w:pPr>
            <w:r>
              <w:rPr>
                <w:rFonts w:hint="eastAsia" w:ascii="Times New Roman" w:hAnsi="Times New Roman" w:eastAsia="宋体" w:cs="Times New Roman"/>
                <w:color w:val="auto"/>
                <w:spacing w:val="0"/>
                <w:w w:val="100"/>
                <w:position w:val="0"/>
                <w:sz w:val="21"/>
                <w:szCs w:val="21"/>
                <w:highlight w:val="none"/>
                <w:lang w:eastAsia="zh-CN"/>
              </w:rPr>
              <w:t>生产车间内部</w:t>
            </w:r>
          </w:p>
        </w:tc>
        <w:tc>
          <w:tcPr>
            <w:tcW w:w="945"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10m</w:t>
            </w:r>
            <w:r>
              <w:rPr>
                <w:rFonts w:hint="default" w:ascii="Times New Roman" w:hAnsi="Times New Roman" w:eastAsia="宋体" w:cs="Times New Roman"/>
                <w:color w:val="auto"/>
                <w:spacing w:val="0"/>
                <w:w w:val="100"/>
                <w:position w:val="0"/>
                <w:sz w:val="21"/>
                <w:szCs w:val="21"/>
                <w:highlight w:val="none"/>
                <w:vertAlign w:val="superscript"/>
              </w:rPr>
              <w:t>2</w:t>
            </w:r>
          </w:p>
        </w:tc>
        <w:tc>
          <w:tcPr>
            <w:tcW w:w="994" w:type="dxa"/>
            <w:tcBorders>
              <w:top w:val="single" w:color="000000" w:sz="2" w:space="0"/>
              <w:left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rPr>
              <w:t>5t</w:t>
            </w:r>
          </w:p>
        </w:tc>
        <w:tc>
          <w:tcPr>
            <w:tcW w:w="918" w:type="dxa"/>
            <w:tcBorders>
              <w:top w:val="single" w:color="000000" w:sz="2" w:space="0"/>
              <w:left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3-6月</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表3.4.2.4-5                  项目固体废物产生与处置情况</w:t>
      </w:r>
    </w:p>
    <w:tbl>
      <w:tblPr>
        <w:tblStyle w:val="23"/>
        <w:tblW w:w="879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9"/>
        <w:gridCol w:w="1607"/>
        <w:gridCol w:w="1415"/>
        <w:gridCol w:w="1734"/>
        <w:gridCol w:w="1626"/>
        <w:gridCol w:w="17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序号</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种类</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产生工序</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年产生量</w:t>
            </w:r>
            <w:r>
              <w:rPr>
                <w:rFonts w:hint="eastAsia"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eastAsia="zh-CN"/>
              </w:rPr>
              <w:t>t/a</w:t>
            </w:r>
            <w:r>
              <w:rPr>
                <w:rFonts w:hint="eastAsia" w:ascii="Times New Roman" w:hAnsi="Times New Roman" w:eastAsia="宋体" w:cs="Times New Roman"/>
                <w:color w:val="auto"/>
                <w:spacing w:val="0"/>
                <w:w w:val="100"/>
                <w:position w:val="0"/>
                <w:sz w:val="21"/>
                <w:szCs w:val="21"/>
                <w:highlight w:val="none"/>
                <w:lang w:eastAsia="zh-CN"/>
              </w:rPr>
              <w:t>）</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主要成分</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2"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1</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生活垃圾</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日常生活</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1.24</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生活垃圾</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环卫部门定期清理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7"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2</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杂质</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除砂、纤维分离</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335</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砂、土、纤维</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集中收集，综合外售处理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21"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3</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污泥</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污水处理站</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765</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纤维</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pacing w:val="0"/>
                <w:w w:val="100"/>
                <w:position w:val="0"/>
                <w:sz w:val="21"/>
                <w:szCs w:val="21"/>
                <w:highlight w:val="none"/>
                <w:lang w:eastAsia="zh-CN"/>
              </w:rPr>
              <w:t>污泥干化后</w:t>
            </w:r>
            <w:r>
              <w:rPr>
                <w:rFonts w:hint="eastAsia" w:cs="Times New Roman"/>
                <w:color w:val="auto"/>
                <w:spacing w:val="0"/>
                <w:w w:val="100"/>
                <w:position w:val="0"/>
                <w:sz w:val="21"/>
                <w:szCs w:val="21"/>
                <w:highlight w:val="none"/>
                <w:lang w:eastAsia="zh-CN"/>
              </w:rPr>
              <w:t>，</w:t>
            </w:r>
            <w:r>
              <w:rPr>
                <w:rFonts w:hint="eastAsia" w:ascii="Times New Roman" w:hAnsi="Times New Roman" w:eastAsia="宋体" w:cs="Times New Roman"/>
                <w:color w:val="auto"/>
                <w:spacing w:val="0"/>
                <w:w w:val="100"/>
                <w:position w:val="0"/>
                <w:sz w:val="21"/>
                <w:szCs w:val="21"/>
                <w:highlight w:val="none"/>
                <w:lang w:eastAsia="zh-CN"/>
              </w:rPr>
              <w:t>定期外售</w:t>
            </w:r>
            <w:r>
              <w:rPr>
                <w:rFonts w:ascii="Times New Roman" w:hAnsi="Times New Roman" w:eastAsia="宋体" w:cs="Times New Roman"/>
                <w:color w:val="auto"/>
                <w:spacing w:val="0"/>
                <w:w w:val="100"/>
                <w:position w:val="0"/>
                <w:sz w:val="21"/>
                <w:szCs w:val="21"/>
                <w:highlight w:val="none"/>
              </w:rPr>
              <w:t>给砖厂制砖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2"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4</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锅炉炉渣和捕集到的飞灰</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锅炉</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z w:val="24"/>
                <w:highlight w:val="none"/>
                <w:lang w:val="en-US" w:eastAsia="zh-CN"/>
              </w:rPr>
              <w:t>138.58</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炉渣、飞灰</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val="en-US" w:eastAsia="zh-CN"/>
              </w:rPr>
              <w:t>集中收集，综合外售处理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21"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5</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废离子交换树脂</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锅炉软化水</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0.1</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废树脂</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由生产厂家上门更换时回收处置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6"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6</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废润滑油</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维修、保养</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0.1</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废润滑油</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危废暂存间暂存后委托有资质到单位处置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6" w:hRule="atLeast"/>
          <w:jc w:val="center"/>
        </w:trPr>
        <w:tc>
          <w:tcPr>
            <w:tcW w:w="699"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7</w:t>
            </w:r>
          </w:p>
        </w:tc>
        <w:tc>
          <w:tcPr>
            <w:tcW w:w="1607"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w:t>
            </w:r>
            <w:r>
              <w:rPr>
                <w:rFonts w:hint="eastAsia" w:ascii="Times New Roman" w:cs="Times New Roman"/>
                <w:color w:val="auto"/>
                <w:spacing w:val="0"/>
                <w:w w:val="100"/>
                <w:position w:val="0"/>
                <w:sz w:val="21"/>
                <w:szCs w:val="21"/>
                <w:highlight w:val="none"/>
                <w:lang w:eastAsia="zh-CN"/>
              </w:rPr>
              <w:t>活性炭</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废气治理</w:t>
            </w:r>
          </w:p>
        </w:tc>
        <w:tc>
          <w:tcPr>
            <w:tcW w:w="17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1.2</w:t>
            </w:r>
          </w:p>
        </w:tc>
        <w:tc>
          <w:tcPr>
            <w:tcW w:w="162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废活性炭</w:t>
            </w:r>
          </w:p>
        </w:tc>
        <w:tc>
          <w:tcPr>
            <w:tcW w:w="171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eastAsia="宋体" w:cs="Times New Roman"/>
                <w:color w:val="auto"/>
                <w:spacing w:val="0"/>
                <w:w w:val="100"/>
                <w:position w:val="0"/>
                <w:sz w:val="21"/>
                <w:szCs w:val="21"/>
                <w:highlight w:val="none"/>
                <w:lang w:eastAsia="zh-CN"/>
              </w:rPr>
              <w:t>危废暂存间暂存后委托有资质到单位处置</w:t>
            </w:r>
          </w:p>
        </w:tc>
      </w:tr>
    </w:tbl>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color w:val="auto"/>
          <w:spacing w:val="0"/>
          <w:w w:val="99"/>
          <w:position w:val="0"/>
          <w:highlight w:val="none"/>
        </w:rPr>
      </w:pPr>
      <w:bookmarkStart w:id="228" w:name="_Toc9523"/>
      <w:r>
        <w:rPr>
          <w:rFonts w:hint="eastAsia" w:ascii="Times New Roman" w:hAnsi="Times New Roman" w:eastAsia="宋体" w:cs="Times New Roman"/>
          <w:color w:val="auto"/>
          <w:spacing w:val="0"/>
          <w:w w:val="99"/>
          <w:position w:val="0"/>
          <w:highlight w:val="none"/>
          <w:lang w:val="en-US" w:eastAsia="zh-CN"/>
        </w:rPr>
        <w:t>3.4.3</w:t>
      </w:r>
      <w:r>
        <w:rPr>
          <w:rFonts w:ascii="Times New Roman" w:hAnsi="Times New Roman" w:eastAsia="宋体" w:cs="Times New Roman"/>
          <w:color w:val="auto"/>
          <w:spacing w:val="0"/>
          <w:w w:val="99"/>
          <w:position w:val="0"/>
          <w:highlight w:val="none"/>
        </w:rPr>
        <w:t>“三本帐”统计</w:t>
      </w:r>
      <w:bookmarkEnd w:id="228"/>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rFonts w:hint="eastAsia" w:ascii="Times New Roman" w:hAnsi="Times New Roman" w:eastAsia="宋体" w:cs="Times New Roman"/>
          <w:color w:val="auto"/>
          <w:spacing w:val="0"/>
          <w:sz w:val="24"/>
          <w:highlight w:val="none"/>
          <w:lang w:eastAsia="zh-CN"/>
        </w:rPr>
      </w:pPr>
      <w:r>
        <w:rPr>
          <w:rFonts w:hint="eastAsia" w:ascii="Times New Roman" w:hAnsi="Times New Roman" w:eastAsia="宋体" w:cs="Times New Roman"/>
          <w:color w:val="auto"/>
          <w:spacing w:val="0"/>
          <w:sz w:val="24"/>
          <w:highlight w:val="none"/>
          <w:lang w:val="en-US" w:eastAsia="zh-CN"/>
        </w:rPr>
        <w:t xml:space="preserve">表3.4.3-1  </w:t>
      </w:r>
      <w:r>
        <w:rPr>
          <w:rFonts w:hint="eastAsia" w:ascii="Times New Roman" w:hAnsi="Times New Roman" w:cs="Times New Roman"/>
          <w:color w:val="auto"/>
          <w:spacing w:val="0"/>
          <w:sz w:val="24"/>
          <w:highlight w:val="none"/>
          <w:lang w:val="en-US" w:eastAsia="zh-CN"/>
        </w:rPr>
        <w:t xml:space="preserve">  </w:t>
      </w:r>
      <w:r>
        <w:rPr>
          <w:rFonts w:hint="eastAsia" w:ascii="Times New Roman" w:hAnsi="Times New Roman" w:eastAsia="宋体" w:cs="Times New Roman"/>
          <w:color w:val="auto"/>
          <w:spacing w:val="0"/>
          <w:sz w:val="24"/>
          <w:highlight w:val="none"/>
          <w:lang w:val="en-US" w:eastAsia="zh-CN"/>
        </w:rPr>
        <w:t>项目改建前后主要污染物“三本帐”</w:t>
      </w:r>
      <w:r>
        <w:rPr>
          <w:rFonts w:hint="eastAsia" w:ascii="Times New Roman" w:hAnsi="Times New Roman" w:cs="Times New Roman"/>
          <w:color w:val="auto"/>
          <w:spacing w:val="0"/>
          <w:sz w:val="24"/>
          <w:highlight w:val="none"/>
          <w:lang w:val="en-US" w:eastAsia="zh-CN"/>
        </w:rPr>
        <w:t xml:space="preserve">   </w:t>
      </w:r>
      <w:r>
        <w:rPr>
          <w:rFonts w:hint="eastAsia" w:ascii="Times New Roman" w:hAnsi="Times New Roman" w:eastAsia="宋体" w:cs="Times New Roman"/>
          <w:color w:val="auto"/>
          <w:spacing w:val="0"/>
          <w:sz w:val="24"/>
          <w:highlight w:val="none"/>
          <w:lang w:val="en-US" w:eastAsia="zh-CN"/>
        </w:rPr>
        <w:t>单位：t/a（废气量m</w:t>
      </w:r>
      <w:r>
        <w:rPr>
          <w:rFonts w:hint="eastAsia" w:ascii="Times New Roman" w:hAnsi="Times New Roman" w:eastAsia="宋体" w:cs="Times New Roman"/>
          <w:color w:val="auto"/>
          <w:spacing w:val="0"/>
          <w:sz w:val="24"/>
          <w:highlight w:val="none"/>
          <w:vertAlign w:val="superscript"/>
          <w:lang w:val="en-US" w:eastAsia="zh-CN"/>
        </w:rPr>
        <w:t>3</w:t>
      </w:r>
      <w:r>
        <w:rPr>
          <w:rFonts w:hint="eastAsia" w:ascii="Times New Roman" w:hAnsi="Times New Roman" w:eastAsia="宋体" w:cs="Times New Roman"/>
          <w:color w:val="auto"/>
          <w:spacing w:val="0"/>
          <w:sz w:val="24"/>
          <w:highlight w:val="none"/>
          <w:lang w:val="en-US" w:eastAsia="zh-CN"/>
        </w:rPr>
        <w:t>/a）</w:t>
      </w:r>
    </w:p>
    <w:p>
      <w:pPr>
        <w:spacing w:line="20" w:lineRule="exact"/>
        <w:rPr>
          <w:rFonts w:ascii="Times New Roman" w:hAnsi="Times New Roman" w:eastAsia="宋体" w:cs="Times New Roman"/>
          <w:color w:val="auto"/>
          <w:spacing w:val="0"/>
          <w:w w:val="99"/>
          <w:position w:val="0"/>
          <w:highlight w:val="none"/>
        </w:rPr>
      </w:pPr>
    </w:p>
    <w:tbl>
      <w:tblPr>
        <w:tblStyle w:val="28"/>
        <w:tblW w:w="889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88"/>
        <w:gridCol w:w="731"/>
        <w:gridCol w:w="1399"/>
        <w:gridCol w:w="906"/>
        <w:gridCol w:w="609"/>
        <w:gridCol w:w="919"/>
        <w:gridCol w:w="1488"/>
        <w:gridCol w:w="1366"/>
        <w:gridCol w:w="109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8" w:hRule="atLeast"/>
          <w:jc w:val="center"/>
        </w:trPr>
        <w:tc>
          <w:tcPr>
            <w:tcW w:w="1119"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污染物</w:t>
            </w:r>
          </w:p>
        </w:tc>
        <w:tc>
          <w:tcPr>
            <w:tcW w:w="13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现有项目</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排放量</w:t>
            </w:r>
          </w:p>
        </w:tc>
        <w:tc>
          <w:tcPr>
            <w:tcW w:w="243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本项目</w:t>
            </w:r>
          </w:p>
        </w:tc>
        <w:tc>
          <w:tcPr>
            <w:tcW w:w="148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“以新代老”</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削减量</w:t>
            </w:r>
          </w:p>
        </w:tc>
        <w:tc>
          <w:tcPr>
            <w:tcW w:w="136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整体工程</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排放量</w:t>
            </w:r>
          </w:p>
        </w:tc>
        <w:tc>
          <w:tcPr>
            <w:tcW w:w="109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增减量</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6" w:hRule="atLeast"/>
          <w:jc w:val="center"/>
        </w:trPr>
        <w:tc>
          <w:tcPr>
            <w:tcW w:w="1119"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13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9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产生量</w:t>
            </w:r>
          </w:p>
        </w:tc>
        <w:tc>
          <w:tcPr>
            <w:tcW w:w="6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削减量</w:t>
            </w:r>
          </w:p>
        </w:tc>
        <w:tc>
          <w:tcPr>
            <w:tcW w:w="9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排放量</w:t>
            </w:r>
          </w:p>
        </w:tc>
        <w:tc>
          <w:tcPr>
            <w:tcW w:w="148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136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109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1" w:hRule="atLeast"/>
          <w:jc w:val="center"/>
        </w:trPr>
        <w:tc>
          <w:tcPr>
            <w:tcW w:w="388" w:type="dxa"/>
            <w:vMerge w:val="restart"/>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废气</w:t>
            </w:r>
          </w:p>
        </w:tc>
        <w:tc>
          <w:tcPr>
            <w:tcW w:w="7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SO</w:t>
            </w:r>
            <w:r>
              <w:rPr>
                <w:rFonts w:hint="eastAsia" w:ascii="Times New Roman" w:hAnsi="Times New Roman" w:eastAsia="宋体" w:cs="Times New Roman"/>
                <w:color w:val="auto"/>
                <w:spacing w:val="0"/>
                <w:w w:val="100"/>
                <w:position w:val="0"/>
                <w:sz w:val="21"/>
                <w:szCs w:val="21"/>
                <w:highlight w:val="none"/>
                <w:vertAlign w:val="subscript"/>
                <w:lang w:val="en-US" w:eastAsia="zh-CN"/>
              </w:rPr>
              <w:t>2</w:t>
            </w:r>
          </w:p>
        </w:tc>
        <w:tc>
          <w:tcPr>
            <w:tcW w:w="13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18.6</w:t>
            </w:r>
          </w:p>
        </w:tc>
        <w:tc>
          <w:tcPr>
            <w:tcW w:w="9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1.41</w:t>
            </w:r>
          </w:p>
        </w:tc>
        <w:tc>
          <w:tcPr>
            <w:tcW w:w="6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c>
          <w:tcPr>
            <w:tcW w:w="9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1.41</w:t>
            </w:r>
          </w:p>
        </w:tc>
        <w:tc>
          <w:tcPr>
            <w:tcW w:w="14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18.6</w:t>
            </w:r>
          </w:p>
        </w:tc>
        <w:tc>
          <w:tcPr>
            <w:tcW w:w="13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1.41</w:t>
            </w:r>
          </w:p>
        </w:tc>
        <w:tc>
          <w:tcPr>
            <w:tcW w:w="10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w:t>
            </w:r>
            <w:r>
              <w:rPr>
                <w:rFonts w:hint="eastAsia" w:cs="Times New Roman"/>
                <w:color w:val="auto"/>
                <w:spacing w:val="0"/>
                <w:w w:val="100"/>
                <w:position w:val="0"/>
                <w:sz w:val="21"/>
                <w:szCs w:val="21"/>
                <w:highlight w:val="none"/>
                <w:lang w:val="en-US" w:eastAsia="zh-CN"/>
              </w:rPr>
              <w:t>17.19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388"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7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NO</w:t>
            </w:r>
            <w:r>
              <w:rPr>
                <w:rFonts w:hint="eastAsia" w:ascii="Times New Roman" w:hAnsi="Times New Roman" w:eastAsia="宋体" w:cs="Times New Roman"/>
                <w:color w:val="auto"/>
                <w:spacing w:val="0"/>
                <w:w w:val="100"/>
                <w:position w:val="0"/>
                <w:sz w:val="21"/>
                <w:szCs w:val="21"/>
                <w:highlight w:val="none"/>
                <w:vertAlign w:val="subscript"/>
                <w:lang w:val="en-US" w:eastAsia="zh-CN"/>
              </w:rPr>
              <w:t>X</w:t>
            </w:r>
          </w:p>
        </w:tc>
        <w:tc>
          <w:tcPr>
            <w:tcW w:w="13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13.1</w:t>
            </w:r>
          </w:p>
        </w:tc>
        <w:tc>
          <w:tcPr>
            <w:tcW w:w="9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4.25</w:t>
            </w:r>
          </w:p>
        </w:tc>
        <w:tc>
          <w:tcPr>
            <w:tcW w:w="6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0</w:t>
            </w:r>
          </w:p>
        </w:tc>
        <w:tc>
          <w:tcPr>
            <w:tcW w:w="9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4.25</w:t>
            </w:r>
          </w:p>
        </w:tc>
        <w:tc>
          <w:tcPr>
            <w:tcW w:w="14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10.5</w:t>
            </w:r>
          </w:p>
        </w:tc>
        <w:tc>
          <w:tcPr>
            <w:tcW w:w="13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4.25</w:t>
            </w:r>
          </w:p>
        </w:tc>
        <w:tc>
          <w:tcPr>
            <w:tcW w:w="10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w:t>
            </w:r>
            <w:r>
              <w:rPr>
                <w:rFonts w:hint="eastAsia" w:cs="Times New Roman"/>
                <w:color w:val="auto"/>
                <w:spacing w:val="0"/>
                <w:w w:val="100"/>
                <w:position w:val="0"/>
                <w:sz w:val="21"/>
                <w:szCs w:val="21"/>
                <w:highlight w:val="none"/>
                <w:lang w:val="en-US" w:eastAsia="zh-CN"/>
              </w:rPr>
              <w:t>6.25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388" w:type="dxa"/>
            <w:vMerge w:val="continue"/>
            <w:tcBorders>
              <w:tl2br w:val="nil"/>
              <w:tr2bl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p>
        </w:tc>
        <w:tc>
          <w:tcPr>
            <w:tcW w:w="7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颗粒物</w:t>
            </w:r>
          </w:p>
        </w:tc>
        <w:tc>
          <w:tcPr>
            <w:tcW w:w="13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7.98</w:t>
            </w:r>
          </w:p>
        </w:tc>
        <w:tc>
          <w:tcPr>
            <w:tcW w:w="9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2.0825</w:t>
            </w:r>
          </w:p>
        </w:tc>
        <w:tc>
          <w:tcPr>
            <w:tcW w:w="6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2.076</w:t>
            </w:r>
          </w:p>
        </w:tc>
        <w:tc>
          <w:tcPr>
            <w:tcW w:w="9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0.0065</w:t>
            </w:r>
          </w:p>
        </w:tc>
        <w:tc>
          <w:tcPr>
            <w:tcW w:w="14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7.98</w:t>
            </w:r>
          </w:p>
        </w:tc>
        <w:tc>
          <w:tcPr>
            <w:tcW w:w="13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0.0065</w:t>
            </w:r>
          </w:p>
        </w:tc>
        <w:tc>
          <w:tcPr>
            <w:tcW w:w="10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w:t>
            </w:r>
            <w:r>
              <w:rPr>
                <w:rFonts w:hint="eastAsia" w:ascii="Times New Roman" w:hAnsi="Times New Roman" w:cs="Times New Roman"/>
                <w:color w:val="auto"/>
                <w:spacing w:val="0"/>
                <w:w w:val="100"/>
                <w:position w:val="0"/>
                <w:sz w:val="21"/>
                <w:szCs w:val="21"/>
                <w:highlight w:val="none"/>
                <w:lang w:val="en-US" w:eastAsia="zh-CN"/>
              </w:rPr>
              <w:t>7</w:t>
            </w:r>
            <w:r>
              <w:rPr>
                <w:rFonts w:hint="eastAsia" w:cs="Times New Roman"/>
                <w:color w:val="auto"/>
                <w:spacing w:val="0"/>
                <w:w w:val="100"/>
                <w:position w:val="0"/>
                <w:sz w:val="21"/>
                <w:szCs w:val="21"/>
                <w:highlight w:val="none"/>
                <w:lang w:val="en-US" w:eastAsia="zh-CN"/>
              </w:rPr>
              <w:t>.9735</w:t>
            </w:r>
          </w:p>
        </w:tc>
      </w:tr>
    </w:tbl>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29" w:name="_Toc24599"/>
      <w:bookmarkStart w:id="230" w:name="_Toc16974"/>
      <w:r>
        <w:rPr>
          <w:rFonts w:hint="eastAsia" w:ascii="Times New Roman" w:hAnsi="Times New Roman" w:eastAsia="宋体" w:cs="Times New Roman"/>
          <w:bCs w:val="0"/>
          <w:color w:val="auto"/>
          <w:kern w:val="2"/>
          <w:szCs w:val="20"/>
          <w:highlight w:val="none"/>
          <w:lang w:val="en-US" w:bidi="ar-SA"/>
        </w:rPr>
        <w:t>3.</w:t>
      </w:r>
      <w:r>
        <w:rPr>
          <w:rFonts w:hint="eastAsia" w:ascii="Times New Roman" w:hAnsi="Times New Roman" w:eastAsia="宋体" w:cs="Times New Roman"/>
          <w:bCs w:val="0"/>
          <w:color w:val="auto"/>
          <w:kern w:val="2"/>
          <w:szCs w:val="20"/>
          <w:highlight w:val="none"/>
          <w:lang w:val="en-US" w:eastAsia="zh-CN" w:bidi="ar-SA"/>
        </w:rPr>
        <w:t>5</w:t>
      </w:r>
      <w:r>
        <w:rPr>
          <w:rFonts w:hint="eastAsia" w:ascii="Times New Roman" w:hAnsi="Times New Roman" w:eastAsia="宋体" w:cs="Times New Roman"/>
          <w:bCs w:val="0"/>
          <w:color w:val="auto"/>
          <w:kern w:val="2"/>
          <w:szCs w:val="20"/>
          <w:highlight w:val="none"/>
          <w:lang w:val="en-US" w:bidi="ar-SA"/>
        </w:rPr>
        <w:t>清洁生产分析</w:t>
      </w:r>
      <w:bookmarkEnd w:id="229"/>
      <w:bookmarkEnd w:id="230"/>
    </w:p>
    <w:p>
      <w:pPr>
        <w:bidi w:val="0"/>
        <w:spacing w:line="500" w:lineRule="exact"/>
        <w:ind w:firstLine="480" w:firstLineChars="200"/>
        <w:outlineLvl w:val="9"/>
        <w:rPr>
          <w:rFonts w:hint="eastAsia" w:ascii="Times New Roman" w:hAnsi="Times New Roman" w:eastAsia="宋体" w:cs="Times New Roman"/>
          <w:color w:val="auto"/>
          <w:sz w:val="24"/>
          <w:highlight w:val="none"/>
          <w:lang w:val="en-US" w:eastAsia="zh-CN"/>
        </w:rPr>
      </w:pPr>
      <w:bookmarkStart w:id="231" w:name="_Toc8728"/>
      <w:bookmarkStart w:id="232" w:name="_Toc459191927"/>
      <w:bookmarkStart w:id="233" w:name="_Toc370732732"/>
      <w:bookmarkStart w:id="234" w:name="_Toc374359644"/>
      <w:bookmarkStart w:id="235" w:name="_Toc27462"/>
      <w:bookmarkStart w:id="236" w:name="_Toc23614"/>
      <w:bookmarkStart w:id="237" w:name="_Toc8024"/>
      <w:r>
        <w:rPr>
          <w:rFonts w:hint="eastAsia" w:ascii="Times New Roman" w:hAnsi="Times New Roman" w:eastAsia="宋体" w:cs="Times New Roman"/>
          <w:color w:val="auto"/>
          <w:sz w:val="24"/>
          <w:highlight w:val="none"/>
          <w:lang w:val="en-US" w:eastAsia="zh-CN"/>
        </w:rPr>
        <w:t>一、清洁生产的原则</w:t>
      </w:r>
      <w:bookmarkEnd w:id="231"/>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清洁生产是将污染预防的战略持续应用于生产过程、产品和服务中，以减少人类的风险。因此将清洁生产纳入环境影响评价制度后，环境影响评价制度更加完善，在预防和控制污染方面发挥更大的作用。</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追求的目标是生产过程、产品的设计和开发以及服务过程，充分提高效率，减少污染物的产生，从而达到环境效益和经济效益相统一这一理想环保目标。那些技术工艺落后，设备陈旧，产污量大的项目因不符合清洁生产的要求而被否定。</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根据国家环保局[环控（1887）232号]“关于印发国家环保局关于推行清洁生产若干意见的通知”的要求。通知明确提出建设项目的环境评价应包括清洁生产的内容。</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要求：</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（1）项目建议书阶段，要对工艺和产品是否符合清洁生产要求提出初评。</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（2）项目可行性研究阶段，要对重点原料选用、生产工艺和技术改进、产品等方案进行评价，最大限度地减少技术和产品的环境风险。</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（3）对于使用限 期淘汰的落后工艺和设备，不符合清洁生产要求的建设项目，环境保护行政主管部门不得批准其项目环境影响报告书。</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（4）所提出的清洁生产措施要与主体工 程“同时设计，同时施工，同时投产”。</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将清洁生产的思想引入环评工作，以此强化工程分析，可大大提高环评质量。对于建设项目而言，可以减轻建设项目的末端处理负担，提高建设项目的环境可 靠性，提高建设项目的市场竞争力以及降低建设项目的环境责任风险。</w:t>
      </w:r>
    </w:p>
    <w:p>
      <w:pPr>
        <w:bidi w:val="0"/>
        <w:spacing w:line="500" w:lineRule="exact"/>
        <w:ind w:firstLine="480" w:firstLineChars="200"/>
        <w:outlineLvl w:val="9"/>
        <w:rPr>
          <w:rFonts w:hint="eastAsia" w:ascii="Times New Roman" w:hAnsi="Times New Roman" w:eastAsia="宋体" w:cs="Times New Roman"/>
          <w:color w:val="auto"/>
          <w:sz w:val="24"/>
          <w:highlight w:val="none"/>
          <w:lang w:val="en-US" w:eastAsia="zh-CN"/>
        </w:rPr>
      </w:pPr>
      <w:bookmarkStart w:id="238" w:name="_Toc21790"/>
      <w:r>
        <w:rPr>
          <w:rFonts w:hint="eastAsia" w:ascii="Times New Roman" w:hAnsi="Times New Roman" w:eastAsia="宋体" w:cs="Times New Roman"/>
          <w:color w:val="auto"/>
          <w:sz w:val="24"/>
          <w:highlight w:val="none"/>
          <w:lang w:val="en-US" w:eastAsia="zh-CN"/>
        </w:rPr>
        <w:t>二、实行清洁生产的目的和意义</w:t>
      </w:r>
      <w:bookmarkEnd w:id="238"/>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在工业生产中，实行清洁生产意义在于：</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1、环境与经济必须协调发展，走经济和环境可持续发展的道路；</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2、工业环境管理模式必须随着社会主义市场经济的发展而改变，由末端治 理转变为实行预防污染和工业生产全过程的控制；</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3、推行清洁生产将会给社会和企业本身带来巨大的社会、经济、环境效益。</w:t>
      </w:r>
    </w:p>
    <w:p>
      <w:pPr>
        <w:bidi w:val="0"/>
        <w:spacing w:line="500" w:lineRule="exact"/>
        <w:ind w:firstLine="480" w:firstLineChars="200"/>
        <w:outlineLvl w:val="9"/>
        <w:rPr>
          <w:rFonts w:hint="eastAsia" w:ascii="Times New Roman" w:hAnsi="Times New Roman" w:eastAsia="宋体" w:cs="Times New Roman"/>
          <w:color w:val="auto"/>
          <w:sz w:val="24"/>
          <w:highlight w:val="none"/>
          <w:lang w:val="en-US" w:eastAsia="zh-CN"/>
        </w:rPr>
      </w:pPr>
      <w:bookmarkStart w:id="239" w:name="_Toc11998"/>
      <w:r>
        <w:rPr>
          <w:rFonts w:hint="eastAsia" w:ascii="Times New Roman" w:hAnsi="Times New Roman" w:eastAsia="宋体" w:cs="Times New Roman"/>
          <w:color w:val="auto"/>
          <w:sz w:val="24"/>
          <w:highlight w:val="none"/>
          <w:lang w:val="en-US" w:eastAsia="zh-CN"/>
        </w:rPr>
        <w:t>三、清洁生产分析的主要内容</w:t>
      </w:r>
      <w:bookmarkEnd w:id="239"/>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清洁生产评价采用《制浆造纸行业清洁生产评价指标体系》（国家发展改革委2015年第9号公告）评价标准，评价指标见表3.5-1。根据分析比较，本项目的清洁生产综合评价指标为二级，该项目的建设符合清洁生产要求。</w:t>
      </w:r>
    </w:p>
    <w:p>
      <w:pPr>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br w:type="page"/>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表3.5-1          纸浆评价指标项目、权重及基准值</w:t>
      </w:r>
    </w:p>
    <w:tbl>
      <w:tblPr>
        <w:tblStyle w:val="23"/>
        <w:tblW w:w="89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1528"/>
        <w:gridCol w:w="679"/>
        <w:gridCol w:w="597"/>
        <w:gridCol w:w="1218"/>
        <w:gridCol w:w="2023"/>
        <w:gridCol w:w="960"/>
        <w:gridCol w:w="7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2" w:hRule="atLeast"/>
          <w:jc w:val="center"/>
        </w:trPr>
        <w:tc>
          <w:tcPr>
            <w:tcW w:w="2794"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清洁生产指标等级</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一级</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三级</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本项目数值</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本项目水平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996" w:type="dxa"/>
            <w:gridSpan w:val="8"/>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生产工艺与装备要求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1.碎浆</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碎浆浓</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度≥8%</w:t>
            </w:r>
          </w:p>
        </w:tc>
        <w:tc>
          <w:tcPr>
            <w:tcW w:w="3241"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碎浆浓度≥4%</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碎浆浓度=5%</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2.筛选</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压力筛选</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压力筛选</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996" w:type="dxa"/>
            <w:gridSpan w:val="8"/>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二、资源能源利用指标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单位产品取水量m</w:t>
            </w:r>
            <w:r>
              <w:rPr>
                <w:rFonts w:hint="eastAsia" w:ascii="Times New Roman" w:hAnsi="Times New Roman" w:eastAsia="宋体" w:cs="Times New Roman"/>
                <w:caps w:val="0"/>
                <w:smallCaps w:val="0"/>
                <w:snapToGrid w:val="0"/>
                <w:color w:val="auto"/>
                <w:spacing w:val="0"/>
                <w:w w:val="100"/>
                <w:kern w:val="0"/>
                <w:position w:val="0"/>
                <w:sz w:val="21"/>
                <w:szCs w:val="18"/>
                <w:highlight w:val="none"/>
                <w:vertAlign w:val="superscript"/>
                <w:lang w:val="en-US"/>
              </w:rPr>
              <w:t>3</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 Adt</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≤9</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≤13</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≤18</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0.9</w:t>
            </w:r>
            <w:r>
              <w:rPr>
                <w:rFonts w:hint="eastAsia"/>
                <w:color w:val="auto"/>
                <w:highlight w:val="none"/>
                <w:lang w:val="en-US" w:eastAsia="zh-CN"/>
              </w:rPr>
              <w:t>5</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单位产品综合能耗</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kgce/ Adt</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≤230</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≤280</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≤310</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270</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cs="Times New Roman"/>
                <w:caps w:val="0"/>
                <w:smallCaps w:val="0"/>
                <w:snapToGrid w:val="0"/>
                <w:color w:val="auto"/>
                <w:spacing w:val="0"/>
                <w:w w:val="100"/>
                <w:kern w:val="0"/>
                <w:position w:val="0"/>
                <w:sz w:val="21"/>
                <w:szCs w:val="18"/>
                <w:highlight w:val="none"/>
                <w:lang w:val="en-US" w:eastAsia="zh-CN"/>
              </w:rPr>
              <w:t>二</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996" w:type="dxa"/>
            <w:gridSpan w:val="8"/>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三、资源综合利用指标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水重复利用率</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95</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90</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85</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97</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996" w:type="dxa"/>
            <w:gridSpan w:val="8"/>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四</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、污染物产生指标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废水产生量m</w:t>
            </w:r>
            <w:r>
              <w:rPr>
                <w:rFonts w:hint="eastAsia" w:ascii="Times New Roman" w:hAnsi="Times New Roman" w:eastAsia="宋体" w:cs="Times New Roman"/>
                <w:caps w:val="0"/>
                <w:smallCaps w:val="0"/>
                <w:snapToGrid w:val="0"/>
                <w:color w:val="auto"/>
                <w:spacing w:val="0"/>
                <w:w w:val="100"/>
                <w:kern w:val="0"/>
                <w:position w:val="0"/>
                <w:sz w:val="21"/>
                <w:szCs w:val="18"/>
                <w:highlight w:val="none"/>
                <w:vertAlign w:val="superscript"/>
                <w:lang w:val="en-US"/>
              </w:rPr>
              <w:t>3</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/t</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3</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6</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15</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cs="Times New Roman"/>
                <w:caps w:val="0"/>
                <w:smallCaps w:val="0"/>
                <w:snapToGrid w:val="0"/>
                <w:color w:val="auto"/>
                <w:spacing w:val="0"/>
                <w:w w:val="100"/>
                <w:kern w:val="0"/>
                <w:position w:val="0"/>
                <w:sz w:val="21"/>
                <w:szCs w:val="18"/>
                <w:highlight w:val="none"/>
                <w:lang w:val="en-US" w:eastAsia="zh-CN"/>
              </w:rPr>
              <w:t>0</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单位产品 CODCr产生量</w:t>
            </w:r>
          </w:p>
        </w:tc>
        <w:tc>
          <w:tcPr>
            <w:tcW w:w="152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非脱墨制浆</w:t>
            </w:r>
          </w:p>
        </w:tc>
        <w:tc>
          <w:tcPr>
            <w:tcW w:w="1276"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10</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20</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25</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0</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996" w:type="dxa"/>
            <w:gridSpan w:val="8"/>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五、</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清洁生产管理指标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环境法律法规标准执行情况</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符合国家和地方有关环境法律、法规，废水、废气、噪声等污染物排放符合国家和地方排放标准；污染物排放应达到国家和地方污染物排放总量控制指标和排污许可证管理要求</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产业政策执行情况</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生产规模符合国家和地方相关产业政策，不使用国家和地方明令淘汰的落后工艺和装备</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固体废物处理处置</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采用符合国家规定的废物处置方法处置废物；一般固体废物按照</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GB18599</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相关规定执行；危险废物按照</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GB18597</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相关规定执行</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清洁生产审核情况</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按照国家和地方要求，开展清洁生产审核</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环境管理体系制度</w:t>
            </w:r>
          </w:p>
        </w:tc>
        <w:tc>
          <w:tcPr>
            <w:tcW w:w="4022"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GB/T24001</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建立并运行环境管理体系，环境管理程序文件及作业文件齐备</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拥有健全的环境管理体系和完备的管理文件</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废水处理设施运行管理</w:t>
            </w:r>
          </w:p>
        </w:tc>
        <w:tc>
          <w:tcPr>
            <w:tcW w:w="220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建有废水处理设施运行中控系统，建立治污设施运行台账</w:t>
            </w:r>
          </w:p>
        </w:tc>
        <w:tc>
          <w:tcPr>
            <w:tcW w:w="3838"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建立治污设施运行台账</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污染物排放监测</w:t>
            </w:r>
          </w:p>
        </w:tc>
        <w:tc>
          <w:tcPr>
            <w:tcW w:w="4022"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按照《污染源自动监控管理办法》的规定，安装污染物排放自动监控设备，并与环境保护主管部门的监控设备联网，并保证设备正常运行</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对污染物排放实行定期监测</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环境管理制度和机构</w:t>
            </w:r>
          </w:p>
        </w:tc>
        <w:tc>
          <w:tcPr>
            <w:tcW w:w="6045"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具有完善的环境管理制度；设置专门环境管理机构和专职管理人员</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126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环境应急</w:t>
            </w:r>
          </w:p>
        </w:tc>
        <w:tc>
          <w:tcPr>
            <w:tcW w:w="2207"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编制系统的环境应急预案并开展环境应急演练</w:t>
            </w:r>
          </w:p>
        </w:tc>
        <w:tc>
          <w:tcPr>
            <w:tcW w:w="3838"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编制系统的环境应急预案</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二</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1266"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环境信息公开</w:t>
            </w:r>
          </w:p>
        </w:tc>
        <w:tc>
          <w:tcPr>
            <w:tcW w:w="4022"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按照《环境信息公开办法（试行）》第十九条要求公开环境信息</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按照《环境信息公开办法（试行）》</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第二十条要求公开环境信息</w:t>
            </w: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二</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66"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c>
          <w:tcPr>
            <w:tcW w:w="4022" w:type="dxa"/>
            <w:gridSpan w:val="4"/>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按照</w:t>
            </w:r>
            <w:r>
              <w:rPr>
                <w:rFonts w:hint="default" w:ascii="Times New Roman" w:hAnsi="Times New Roman" w:eastAsia="宋体" w:cs="Times New Roman"/>
                <w:caps w:val="0"/>
                <w:smallCaps w:val="0"/>
                <w:snapToGrid w:val="0"/>
                <w:color w:val="auto"/>
                <w:spacing w:val="0"/>
                <w:w w:val="100"/>
                <w:kern w:val="0"/>
                <w:position w:val="0"/>
                <w:sz w:val="21"/>
                <w:szCs w:val="18"/>
                <w:highlight w:val="none"/>
                <w:lang w:val="en-US" w:eastAsia="zh-CN"/>
              </w:rPr>
              <w:t>HJ617</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编写企业环境报告书</w:t>
            </w:r>
          </w:p>
        </w:tc>
        <w:tc>
          <w:tcPr>
            <w:tcW w:w="202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p>
        </w:tc>
        <w:tc>
          <w:tcPr>
            <w:tcW w:w="96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符合</w:t>
            </w:r>
          </w:p>
        </w:tc>
        <w:tc>
          <w:tcPr>
            <w:tcW w:w="72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eastAsia="zh-CN"/>
              </w:rPr>
              <w:t>一</w:t>
            </w: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级</w:t>
            </w:r>
          </w:p>
        </w:tc>
      </w:tr>
    </w:tbl>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本项目废水产生量指标低于三级，但本项目产生废水均循环使用，不外排。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工业用水重复利用率计算：</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计算公式如下：</w:t>
      </w:r>
    </w:p>
    <w:p>
      <w:pPr>
        <w:pStyle w:val="4"/>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b w:val="0"/>
          <w:bCs w:val="0"/>
          <w:caps w:val="0"/>
          <w:smallCaps w:val="0"/>
          <w:color w:val="auto"/>
          <w:spacing w:val="0"/>
          <w:w w:val="99"/>
          <w:position w:val="0"/>
          <w:sz w:val="24"/>
          <w:szCs w:val="24"/>
          <w:highlight w:val="none"/>
        </w:rPr>
      </w:pPr>
      <w:r>
        <w:rPr>
          <w:rFonts w:ascii="Times New Roman" w:hAnsi="Times New Roman" w:eastAsia="宋体" w:cs="Times New Roman"/>
          <w:b w:val="0"/>
          <w:bCs w:val="0"/>
          <w:caps w:val="0"/>
          <w:smallCaps w:val="0"/>
          <w:color w:val="auto"/>
          <w:spacing w:val="0"/>
          <w:w w:val="99"/>
          <w:position w:val="0"/>
          <w:sz w:val="24"/>
          <w:szCs w:val="24"/>
          <w:highlight w:val="none"/>
        </w:rPr>
        <w:drawing>
          <wp:inline distT="0" distB="0" distL="114300" distR="114300">
            <wp:extent cx="1647825" cy="685800"/>
            <wp:effectExtent l="0" t="0" r="9525" b="0"/>
            <wp:docPr id="27" name="图片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11"/>
                    <pic:cNvPicPr>
                      <a:picLocks noChangeAspect="1"/>
                    </pic:cNvPicPr>
                  </pic:nvPicPr>
                  <pic:blipFill>
                    <a:blip r:embed="rId39"/>
                    <a:stretch>
                      <a:fillRect/>
                    </a:stretch>
                  </pic:blipFill>
                  <pic:spPr>
                    <a:xfrm>
                      <a:off x="0" y="0"/>
                      <a:ext cx="1647825" cy="685800"/>
                    </a:xfrm>
                    <a:prstGeom prst="rect">
                      <a:avLst/>
                    </a:prstGeom>
                    <a:noFill/>
                    <a:ln>
                      <a:noFill/>
                    </a:ln>
                  </pic:spPr>
                </pic:pic>
              </a:graphicData>
            </a:graphic>
          </wp:inline>
        </w:drawing>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式中：R——工业用水重复利用率，%；</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V</w:t>
      </w:r>
      <w:r>
        <w:rPr>
          <w:rFonts w:hint="eastAsia" w:ascii="Times New Roman" w:hAnsi="Times New Roman" w:eastAsia="宋体" w:cs="Times New Roman"/>
          <w:color w:val="auto"/>
          <w:sz w:val="24"/>
          <w:highlight w:val="none"/>
          <w:vertAlign w:val="subscript"/>
          <w:lang w:val="en-US" w:eastAsia="zh-CN"/>
        </w:rPr>
        <w:t>r</w:t>
      </w:r>
      <w:r>
        <w:rPr>
          <w:rFonts w:hint="eastAsia" w:ascii="Times New Roman" w:hAnsi="Times New Roman" w:eastAsia="宋体" w:cs="Times New Roman"/>
          <w:color w:val="auto"/>
          <w:sz w:val="24"/>
          <w:highlight w:val="none"/>
          <w:lang w:val="en-US" w:eastAsia="zh-CN"/>
        </w:rPr>
        <w:t>——在一定计算时间内产品生产重复用水量，m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，本项目取</w:t>
      </w:r>
      <w:r>
        <w:rPr>
          <w:rFonts w:hint="eastAsia" w:cs="Times New Roman"/>
          <w:color w:val="auto"/>
          <w:sz w:val="24"/>
          <w:highlight w:val="none"/>
          <w:lang w:val="en-US" w:eastAsia="zh-CN"/>
        </w:rPr>
        <w:t>889.91</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V</w:t>
      </w:r>
      <w:r>
        <w:rPr>
          <w:rFonts w:hint="eastAsia" w:ascii="Times New Roman" w:hAnsi="Times New Roman" w:eastAsia="宋体" w:cs="Times New Roman"/>
          <w:color w:val="auto"/>
          <w:sz w:val="24"/>
          <w:highlight w:val="none"/>
          <w:vertAlign w:val="subscript"/>
          <w:lang w:val="en-US" w:eastAsia="zh-CN"/>
        </w:rPr>
        <w:t>i</w:t>
      </w:r>
      <w:r>
        <w:rPr>
          <w:rFonts w:hint="eastAsia" w:ascii="Times New Roman" w:hAnsi="Times New Roman" w:eastAsia="宋体" w:cs="Times New Roman"/>
          <w:color w:val="auto"/>
          <w:sz w:val="24"/>
          <w:highlight w:val="none"/>
          <w:lang w:val="en-US" w:eastAsia="zh-CN"/>
        </w:rPr>
        <w:t>——在一定计算时间内产品生产取水量，m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，本项目取</w:t>
      </w:r>
      <w:r>
        <w:rPr>
          <w:rFonts w:hint="eastAsia" w:cs="Times New Roman"/>
          <w:color w:val="auto"/>
          <w:sz w:val="24"/>
          <w:highlight w:val="none"/>
          <w:lang w:val="en-US" w:eastAsia="zh-CN"/>
        </w:rPr>
        <w:t>28.71</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经计算得出本项目工业用水重复利用率</w:t>
      </w:r>
      <w:r>
        <w:rPr>
          <w:rFonts w:hint="eastAsia" w:cs="Times New Roman"/>
          <w:color w:val="auto"/>
          <w:sz w:val="24"/>
          <w:highlight w:val="none"/>
          <w:lang w:val="en-US" w:eastAsia="zh-CN"/>
        </w:rPr>
        <w:t>约</w:t>
      </w:r>
      <w:r>
        <w:rPr>
          <w:rFonts w:hint="eastAsia" w:ascii="Times New Roman" w:hAnsi="Times New Roman" w:eastAsia="宋体" w:cs="Times New Roman"/>
          <w:color w:val="auto"/>
          <w:sz w:val="24"/>
          <w:highlight w:val="none"/>
          <w:lang w:val="en-US" w:eastAsia="zh-CN"/>
        </w:rPr>
        <w:t>为</w:t>
      </w:r>
      <w:r>
        <w:rPr>
          <w:rFonts w:hint="eastAsia" w:cs="Times New Roman"/>
          <w:color w:val="auto"/>
          <w:sz w:val="24"/>
          <w:highlight w:val="none"/>
          <w:lang w:val="en-US" w:eastAsia="zh-CN"/>
        </w:rPr>
        <w:t>97</w:t>
      </w:r>
      <w:r>
        <w:rPr>
          <w:rFonts w:hint="eastAsia" w:ascii="Times New Roman" w:hAnsi="Times New Roman" w:eastAsia="宋体" w:cs="Times New Roman"/>
          <w:color w:val="auto"/>
          <w:sz w:val="24"/>
          <w:highlight w:val="none"/>
          <w:lang w:val="en-US" w:eastAsia="zh-CN"/>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1"/>
        <w:rPr>
          <w:rFonts w:ascii="Times New Roman" w:hAnsi="Times New Roman" w:eastAsia="宋体" w:cs="Times New Roman"/>
          <w:bCs w:val="0"/>
          <w:color w:val="auto"/>
          <w:szCs w:val="20"/>
          <w:highlight w:val="none"/>
          <w:lang w:val="en-US" w:bidi="ar-SA"/>
        </w:rPr>
      </w:pPr>
      <w:bookmarkStart w:id="240" w:name="_Toc17035"/>
      <w:r>
        <w:rPr>
          <w:rFonts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5.1</w:t>
      </w:r>
      <w:r>
        <w:rPr>
          <w:rFonts w:ascii="Times New Roman" w:hAnsi="Times New Roman" w:eastAsia="宋体" w:cs="Times New Roman"/>
          <w:bCs w:val="0"/>
          <w:color w:val="auto"/>
          <w:szCs w:val="20"/>
          <w:highlight w:val="none"/>
          <w:lang w:val="en-US" w:bidi="ar-SA"/>
        </w:rPr>
        <w:t>清洁生产建议</w:t>
      </w:r>
      <w:bookmarkEnd w:id="232"/>
      <w:bookmarkEnd w:id="233"/>
      <w:bookmarkEnd w:id="234"/>
      <w:bookmarkEnd w:id="235"/>
      <w:bookmarkEnd w:id="236"/>
      <w:bookmarkEnd w:id="237"/>
      <w:bookmarkEnd w:id="240"/>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鉴于清洁生产是一个动态、相对的概念，有必要坚持持续清洁生产，以确保企业清洁生产水平始终保持在相对较高的水平，而实现持续清洁生产的重要手段就是实施清洁生产审计，如表3.5.1-1所示。</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表3.5.1-1      企业实行持续清洁生产和实施清洁生产审计的必要性</w:t>
      </w:r>
    </w:p>
    <w:tbl>
      <w:tblPr>
        <w:tblStyle w:val="23"/>
        <w:tblW w:w="91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9"/>
        <w:gridCol w:w="83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85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序号</w:t>
            </w:r>
          </w:p>
        </w:tc>
        <w:tc>
          <w:tcPr>
            <w:tcW w:w="83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必要性分析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3" w:hRule="atLeast"/>
          <w:jc w:val="center"/>
        </w:trPr>
        <w:tc>
          <w:tcPr>
            <w:tcW w:w="85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1</w:t>
            </w:r>
          </w:p>
        </w:tc>
        <w:tc>
          <w:tcPr>
            <w:tcW w:w="83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本评价中的清洁生产分析只是从评价工作需要出发开展的，受条件限制，不完全符合工业企业清洁生产审计程序，也不尽详细。为了最大限度地节约资源，减少排污，企业应该有领导、有组织、有计划地按照清洁生产审计程序开展清洁生产审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85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2</w:t>
            </w:r>
          </w:p>
        </w:tc>
        <w:tc>
          <w:tcPr>
            <w:tcW w:w="83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清洁生产审计产生的方案中包括远期实施方案，这些方案或从经济上，或从技术上分析目前实施有困难，但随着企业经济及技术实力的增强，应给以实施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4" w:hRule="atLeast"/>
          <w:jc w:val="center"/>
        </w:trPr>
        <w:tc>
          <w:tcPr>
            <w:tcW w:w="85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3</w:t>
            </w:r>
          </w:p>
        </w:tc>
        <w:tc>
          <w:tcPr>
            <w:tcW w:w="83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pPr>
            <w:r>
              <w:rPr>
                <w:rFonts w:hint="eastAsia" w:ascii="Times New Roman" w:hAnsi="Times New Roman" w:eastAsia="宋体" w:cs="Times New Roman"/>
                <w:caps w:val="0"/>
                <w:smallCaps w:val="0"/>
                <w:snapToGrid w:val="0"/>
                <w:color w:val="auto"/>
                <w:spacing w:val="0"/>
                <w:w w:val="100"/>
                <w:kern w:val="0"/>
                <w:position w:val="0"/>
                <w:sz w:val="21"/>
                <w:szCs w:val="18"/>
                <w:highlight w:val="none"/>
                <w:lang w:val="en-US"/>
              </w:rPr>
              <w:t>企业在发展过程中会不断出现新问题，需要一个不间断的清洁生产审计过程，针对企业在每一个新的发展阶段出现的问题都能发现和解决，并不断减少企业资源消耗和废物排放，进一步提高企业清洁生产水平</w:t>
            </w:r>
          </w:p>
        </w:tc>
      </w:tr>
    </w:tbl>
    <w:p>
      <w:pPr>
        <w:bidi w:val="0"/>
        <w:spacing w:line="500" w:lineRule="exact"/>
        <w:ind w:firstLine="480" w:firstLineChars="200"/>
        <w:outlineLvl w:val="9"/>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（1）建立和完善清洁生产组织</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清洁生产是一个动态的、相对的概念，也是一个连续的过程，必须有一个固定的机构、稳定的工作人员来组织和协调这方面的工作，以巩固已取得的清洁生产成果，并使清洁生产工作持续地开展下去。</w:t>
      </w:r>
    </w:p>
    <w:p>
      <w:pPr>
        <w:bidi w:val="0"/>
        <w:spacing w:line="500" w:lineRule="exact"/>
        <w:ind w:firstLine="480" w:firstLineChars="200"/>
        <w:outlineLvl w:val="9"/>
        <w:rPr>
          <w:rFonts w:hint="eastAsia" w:ascii="Times New Roman" w:hAnsi="Times New Roman" w:eastAsia="宋体" w:cs="Times New Roman"/>
          <w:color w:val="auto"/>
          <w:sz w:val="24"/>
          <w:highlight w:val="none"/>
          <w:lang w:val="en-US" w:eastAsia="zh-CN"/>
        </w:rPr>
      </w:pPr>
      <w:bookmarkStart w:id="241" w:name="_Toc110913021"/>
      <w:r>
        <w:rPr>
          <w:rFonts w:hint="eastAsia" w:ascii="Times New Roman" w:hAnsi="Times New Roman" w:eastAsia="宋体" w:cs="Times New Roman"/>
          <w:color w:val="auto"/>
          <w:sz w:val="24"/>
          <w:highlight w:val="none"/>
          <w:lang w:val="en-US" w:eastAsia="zh-CN"/>
        </w:rPr>
        <w:t>（2）清洁生产组织</w:t>
      </w:r>
      <w:bookmarkEnd w:id="241"/>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议企业应单独设立清洁生产办公室，直接归属厂长领导，有专人负责并要求具备以下能力：熟练掌握清洁生产审计知识、熟悉企业的环保情况、了解企业的生产和技术情况、具有较强的工作协调能力及较强的工作责任心和敬业精神。</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242" w:name="_Toc110913022"/>
      <w:r>
        <w:rPr>
          <w:rFonts w:hint="eastAsia" w:ascii="Times New Roman" w:hAnsi="Times New Roman" w:eastAsia="宋体" w:cs="Times New Roman"/>
          <w:color w:val="auto"/>
          <w:sz w:val="24"/>
          <w:highlight w:val="none"/>
          <w:lang w:val="en-US" w:eastAsia="zh-CN"/>
        </w:rPr>
        <w:t>1）任务</w:t>
      </w:r>
      <w:bookmarkEnd w:id="242"/>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清洁生产办公室的任务有以下4个方面：</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①组织协调并监督实施审计提出的清洁生产方案。</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②组织企业职工的清洁生产教育和培训。</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③选择下一轮清洁生产审计重点，并启动新的清洁生产审计。</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④负责清洁生产活动的日常事务管理。</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2）建立和完善清洁生产管理制度</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243" w:name="_Toc110913023"/>
      <w:r>
        <w:rPr>
          <w:rFonts w:hint="eastAsia" w:ascii="Times New Roman" w:hAnsi="Times New Roman" w:eastAsia="宋体" w:cs="Times New Roman"/>
          <w:color w:val="auto"/>
          <w:sz w:val="24"/>
          <w:highlight w:val="none"/>
          <w:lang w:val="en-US" w:eastAsia="zh-CN"/>
        </w:rPr>
        <w:t>①把审计成果纳入企业的日常管理</w:t>
      </w:r>
      <w:bookmarkEnd w:id="243"/>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②把清洁生产的审计成果特别是清洁生产审计产生的一些无/低费方案及时纳入企业的日常管理轨道，是巩固清洁生产成效、防止走过场的重要手段。</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③把清洁生产审计提出的加强管理方面的措施文件化，形成制度。</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④把清洁生产审计提出的岗位操作改进措施写入岗位的操作规程，并要求严格遵照执行。</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⑤把清洁生产审计提出的工艺过程控制的改进措施写入企业的技术规范。</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244" w:name="_Toc110913024"/>
      <w:r>
        <w:rPr>
          <w:rFonts w:hint="eastAsia" w:ascii="Times New Roman" w:hAnsi="Times New Roman" w:eastAsia="宋体" w:cs="Times New Roman"/>
          <w:color w:val="auto"/>
          <w:sz w:val="24"/>
          <w:highlight w:val="none"/>
          <w:lang w:val="en-US" w:eastAsia="zh-CN"/>
        </w:rPr>
        <w:t>3）建立和完善清洁生产奖惩机制</w:t>
      </w:r>
      <w:bookmarkEnd w:id="244"/>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①奖惩与清洁生产挂钩，建立清洁生产奖惩激励机制，以调动全体职工参与清洁生产的积极性。</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bookmarkStart w:id="245" w:name="_Toc110913025"/>
      <w:r>
        <w:rPr>
          <w:rFonts w:hint="eastAsia" w:ascii="Times New Roman" w:hAnsi="Times New Roman" w:eastAsia="宋体" w:cs="Times New Roman"/>
          <w:color w:val="auto"/>
          <w:sz w:val="24"/>
          <w:highlight w:val="none"/>
          <w:lang w:val="en-US" w:eastAsia="zh-CN"/>
        </w:rPr>
        <w:t>②保证稳定的清洁生产资金来源</w:t>
      </w:r>
      <w:bookmarkEnd w:id="245"/>
      <w:r>
        <w:rPr>
          <w:rFonts w:hint="eastAsia" w:ascii="Times New Roman" w:hAnsi="Times New Roman" w:eastAsia="宋体" w:cs="Times New Roman"/>
          <w:color w:val="auto"/>
          <w:sz w:val="24"/>
          <w:highlight w:val="none"/>
          <w:lang w:val="en-US" w:eastAsia="zh-CN"/>
        </w:rPr>
        <w:t>。</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清洁生产的资金来源可以有多种渠道，但是清洁生产管理制度的一项重要作用是：保证实施清洁生产所产生的经济效益全部或部分地用于清洁生产和清洁生产审计，以持续推进清洁生产。</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4）加强职工培训工作</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措施能否顺利落实、清洁生产目标能否达到与企业职工的素质有很大关系，因为只有企业职工才是执行清洁生产的基本单元。建议企业应加强对职工关于清洁生产方面的培训工作，并且要针对培训内容，制定合理的培训计划。不仅对车间工人进行培训，也要对企业领导、工程技术人员和车间班组长进行培训，并把清洁生产目标具体分配到每一个人，以利于清洁生产目标的实现。</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5）制定持续清洁生产计划</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清洁生产工作并非一朝一夕就可完成，而是一个动态的、循序渐进的过程，同时，随着技术的发展，新的清洁生产手段也必将不断涌现，从而为企业清洁生产水平的提高提供了可能的选择。因此，作为有长远发展规划的企业应主动制定切合实际的长期清洁生产计划，使清洁生产有组织、有计划地进行下去并有机融入整个生产过程，这样才能保证企业的清洁生产水平始终保持在相对较高的水平。建议企业制定符合企业生产实际和进一步发展目标的清洁生产计划。</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1"/>
        <w:rPr>
          <w:rFonts w:ascii="Times New Roman" w:hAnsi="Times New Roman" w:eastAsia="宋体" w:cs="Times New Roman"/>
          <w:bCs w:val="0"/>
          <w:color w:val="auto"/>
          <w:szCs w:val="20"/>
          <w:highlight w:val="none"/>
          <w:lang w:val="en-US" w:bidi="ar-SA"/>
        </w:rPr>
      </w:pPr>
      <w:bookmarkStart w:id="246" w:name="_Toc6488"/>
      <w:bookmarkStart w:id="247" w:name="_Toc459191928"/>
      <w:bookmarkStart w:id="248" w:name="_Toc9433"/>
      <w:bookmarkStart w:id="249" w:name="_Toc25346"/>
      <w:bookmarkStart w:id="250" w:name="_Toc11542"/>
      <w:r>
        <w:rPr>
          <w:rFonts w:ascii="Times New Roman" w:hAnsi="Times New Roman" w:eastAsia="宋体" w:cs="Times New Roman"/>
          <w:bCs w:val="0"/>
          <w:color w:val="auto"/>
          <w:szCs w:val="20"/>
          <w:highlight w:val="none"/>
          <w:lang w:val="en-US" w:bidi="ar-SA"/>
        </w:rPr>
        <w:t>3.</w:t>
      </w:r>
      <w:r>
        <w:rPr>
          <w:rFonts w:hint="eastAsia" w:ascii="Times New Roman" w:hAnsi="Times New Roman" w:eastAsia="宋体" w:cs="Times New Roman"/>
          <w:bCs w:val="0"/>
          <w:color w:val="auto"/>
          <w:szCs w:val="20"/>
          <w:highlight w:val="none"/>
          <w:lang w:val="en-US" w:eastAsia="zh-CN" w:bidi="ar-SA"/>
        </w:rPr>
        <w:t>5</w:t>
      </w:r>
      <w:r>
        <w:rPr>
          <w:rFonts w:ascii="Times New Roman" w:hAnsi="Times New Roman" w:eastAsia="宋体" w:cs="Times New Roman"/>
          <w:bCs w:val="0"/>
          <w:color w:val="auto"/>
          <w:szCs w:val="20"/>
          <w:highlight w:val="none"/>
          <w:lang w:val="en-US" w:bidi="ar-SA"/>
        </w:rPr>
        <w:t>.2清洁生产结论</w:t>
      </w:r>
      <w:bookmarkEnd w:id="246"/>
      <w:bookmarkEnd w:id="247"/>
      <w:bookmarkEnd w:id="248"/>
      <w:bookmarkEnd w:id="249"/>
      <w:bookmarkEnd w:id="250"/>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sectPr>
          <w:headerReference r:id="rId14" w:type="default"/>
          <w:footerReference r:id="rId15"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highlight w:val="none"/>
          <w:lang w:val="en-US" w:eastAsia="zh-CN"/>
        </w:rPr>
        <w:t>本项目清洁生产评价采用《制浆造纸行业清洁生产评价指标体系》（国家发展改革委2015年第9号公告）评价标准，本项目的清洁生产综合评价指标除废水产生量指标低于三级，其他指标均为二级，本项目产生废水均循环使用，不外排。该项目的建设符合清洁生产要求。</w:t>
      </w:r>
    </w:p>
    <w:p>
      <w:pPr>
        <w:pStyle w:val="5"/>
        <w:keepNext/>
        <w:keepLines/>
        <w:autoSpaceDE/>
        <w:autoSpaceDN/>
        <w:bidi w:val="0"/>
        <w:spacing w:before="0" w:after="0" w:line="500" w:lineRule="exact"/>
        <w:ind w:left="0" w:right="0" w:firstLine="0" w:firstLineChars="0"/>
        <w:jc w:val="both"/>
        <w:rPr>
          <w:rFonts w:hint="eastAsia" w:ascii="Times New Roman" w:hAnsi="Times New Roman" w:eastAsia="宋体" w:cs="Times New Roman"/>
          <w:color w:val="auto"/>
          <w:kern w:val="44"/>
          <w:highlight w:val="none"/>
          <w:lang w:val="en-US" w:eastAsia="zh-CN" w:bidi="ar-SA"/>
        </w:rPr>
      </w:pPr>
      <w:bookmarkStart w:id="251" w:name="_Toc6935"/>
      <w:bookmarkStart w:id="252" w:name="_Toc11737"/>
      <w:bookmarkStart w:id="253" w:name="_Toc22482"/>
      <w:bookmarkStart w:id="254" w:name="_Toc16664"/>
      <w:bookmarkStart w:id="255" w:name="_Toc11313"/>
      <w:bookmarkStart w:id="256" w:name="_Toc13454"/>
      <w:bookmarkStart w:id="257" w:name="_Toc20800"/>
      <w:bookmarkStart w:id="258" w:name="_Toc22953"/>
      <w:bookmarkStart w:id="259" w:name="_Toc21766"/>
      <w:bookmarkStart w:id="260" w:name="_Toc16063"/>
      <w:r>
        <w:rPr>
          <w:rFonts w:hint="eastAsia" w:ascii="Times New Roman" w:hAnsi="Times New Roman" w:eastAsia="宋体" w:cs="Times New Roman"/>
          <w:color w:val="auto"/>
          <w:kern w:val="44"/>
          <w:highlight w:val="none"/>
          <w:lang w:val="en-US" w:eastAsia="zh-CN" w:bidi="ar-SA"/>
        </w:rPr>
        <w:t>4环境现状调查与评价</w:t>
      </w:r>
      <w:bookmarkEnd w:id="251"/>
      <w:bookmarkEnd w:id="252"/>
      <w:bookmarkEnd w:id="253"/>
      <w:bookmarkEnd w:id="254"/>
      <w:bookmarkEnd w:id="255"/>
      <w:bookmarkEnd w:id="256"/>
      <w:bookmarkEnd w:id="257"/>
      <w:bookmarkEnd w:id="258"/>
      <w:bookmarkEnd w:id="259"/>
      <w:bookmarkEnd w:id="260"/>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61" w:name="_Toc31693"/>
      <w:bookmarkStart w:id="262" w:name="_Toc15240"/>
      <w:bookmarkStart w:id="263" w:name="_Toc14600"/>
      <w:bookmarkStart w:id="264" w:name="_Toc1407"/>
      <w:bookmarkStart w:id="265" w:name="_Toc22914"/>
      <w:bookmarkStart w:id="266" w:name="_Toc32206"/>
      <w:bookmarkStart w:id="267" w:name="_Toc26208"/>
      <w:bookmarkStart w:id="268" w:name="_Toc26730"/>
      <w:bookmarkStart w:id="269" w:name="_Toc17779"/>
      <w:r>
        <w:rPr>
          <w:rFonts w:hint="eastAsia" w:ascii="Times New Roman" w:hAnsi="Times New Roman" w:eastAsia="宋体" w:cs="Times New Roman"/>
          <w:bCs w:val="0"/>
          <w:color w:val="auto"/>
          <w:kern w:val="2"/>
          <w:szCs w:val="20"/>
          <w:highlight w:val="none"/>
          <w:lang w:val="en-US" w:bidi="ar-SA"/>
        </w:rPr>
        <w:t>4.1自然环境现状调查与评价</w:t>
      </w:r>
      <w:bookmarkEnd w:id="261"/>
      <w:bookmarkEnd w:id="262"/>
      <w:bookmarkEnd w:id="263"/>
      <w:bookmarkEnd w:id="264"/>
      <w:bookmarkEnd w:id="265"/>
      <w:bookmarkEnd w:id="266"/>
      <w:bookmarkEnd w:id="267"/>
      <w:bookmarkEnd w:id="268"/>
      <w:bookmarkEnd w:id="269"/>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70" w:name="_Toc21504"/>
      <w:bookmarkStart w:id="271" w:name="_Toc31625"/>
      <w:bookmarkStart w:id="272" w:name="_Toc9636"/>
      <w:bookmarkStart w:id="273" w:name="_Toc15057"/>
      <w:bookmarkStart w:id="274" w:name="_Toc21640"/>
      <w:bookmarkStart w:id="275" w:name="_Toc5489"/>
      <w:r>
        <w:rPr>
          <w:rFonts w:ascii="Times New Roman" w:hAnsi="Times New Roman" w:eastAsia="宋体" w:cs="Times New Roman"/>
          <w:bCs w:val="0"/>
          <w:color w:val="auto"/>
          <w:szCs w:val="20"/>
          <w:highlight w:val="none"/>
          <w:lang w:val="en-US" w:bidi="ar-SA"/>
        </w:rPr>
        <w:t>4.1.1地理位置</w:t>
      </w:r>
      <w:bookmarkEnd w:id="270"/>
      <w:bookmarkEnd w:id="271"/>
      <w:bookmarkEnd w:id="272"/>
      <w:bookmarkEnd w:id="273"/>
      <w:bookmarkEnd w:id="274"/>
      <w:bookmarkEnd w:id="275"/>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本项目位于</w:t>
      </w:r>
      <w:r>
        <w:rPr>
          <w:rFonts w:hint="eastAsia" w:cs="Times New Roman"/>
          <w:color w:val="auto"/>
          <w:sz w:val="24"/>
          <w:szCs w:val="22"/>
          <w:highlight w:val="none"/>
          <w:lang w:val="en-US" w:eastAsia="zh-CN" w:bidi="zh-CN"/>
        </w:rPr>
        <w:t>黑龙江大同经济开发区纸业园区</w:t>
      </w:r>
      <w:r>
        <w:rPr>
          <w:rFonts w:hint="eastAsia" w:ascii="Times New Roman" w:hAnsi="Times New Roman" w:eastAsia="宋体" w:cs="Times New Roman"/>
          <w:color w:val="auto"/>
          <w:sz w:val="24"/>
          <w:szCs w:val="22"/>
          <w:highlight w:val="none"/>
          <w:lang w:val="en-US" w:eastAsia="zh-CN" w:bidi="zh-CN"/>
        </w:rPr>
        <w:t>，中心地理坐标E124°43′0.223″，N45°55′28.251″，利用本项目原有厂址进行改建，项目东侧为大庆宏亚纸业、西侧为福庆纸业，北侧为德昌伟业化工有限公司，南侧为空地。</w:t>
      </w:r>
      <w:r>
        <w:rPr>
          <w:rFonts w:hint="default" w:ascii="Times New Roman" w:hAnsi="Times New Roman" w:eastAsia="宋体" w:cs="Times New Roman"/>
          <w:color w:val="auto"/>
          <w:sz w:val="24"/>
          <w:szCs w:val="22"/>
          <w:highlight w:val="none"/>
          <w:lang w:val="en-US" w:eastAsia="zh-CN" w:bidi="zh-CN"/>
        </w:rPr>
        <w:t>具体地理位置见</w:t>
      </w:r>
      <w:r>
        <w:rPr>
          <w:rFonts w:hint="eastAsia" w:cs="Times New Roman"/>
          <w:color w:val="auto"/>
          <w:sz w:val="24"/>
          <w:szCs w:val="22"/>
          <w:highlight w:val="none"/>
          <w:lang w:val="en-US" w:eastAsia="zh-CN" w:bidi="zh-CN"/>
        </w:rPr>
        <w:t>附</w:t>
      </w:r>
      <w:r>
        <w:rPr>
          <w:rFonts w:hint="eastAsia"/>
          <w:color w:val="auto"/>
          <w:highlight w:val="none"/>
        </w:rPr>
        <w:t>图</w:t>
      </w:r>
      <w:r>
        <w:rPr>
          <w:rFonts w:hint="eastAsia"/>
          <w:color w:val="auto"/>
          <w:highlight w:val="none"/>
          <w:lang w:val="en-US" w:eastAsia="zh-CN"/>
        </w:rPr>
        <w:t>1</w:t>
      </w:r>
      <w:r>
        <w:rPr>
          <w:rFonts w:hint="default" w:ascii="Times New Roman" w:hAnsi="Times New Roman" w:eastAsia="宋体" w:cs="Times New Roman"/>
          <w:color w:val="auto"/>
          <w:sz w:val="24"/>
          <w:szCs w:val="22"/>
          <w:highlight w:val="none"/>
          <w:lang w:val="en-US" w:eastAsia="zh-CN" w:bidi="zh-CN"/>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76" w:name="_Toc10032"/>
      <w:r>
        <w:rPr>
          <w:rFonts w:ascii="Times New Roman" w:hAnsi="Times New Roman" w:eastAsia="宋体" w:cs="Times New Roman"/>
          <w:bCs w:val="0"/>
          <w:color w:val="auto"/>
          <w:szCs w:val="20"/>
          <w:highlight w:val="none"/>
          <w:lang w:val="en-US" w:bidi="ar-SA"/>
        </w:rPr>
        <w:t>4.1.2地质及地形地貌</w:t>
      </w:r>
      <w:bookmarkEnd w:id="276"/>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该区域是松辽盆地中央坳陷区北部的一个大型背斜构造带，南北长140km，东西最宽处约70km。境内无山无岭，地势西南偏低，东北偏高，相对高差较小，整个区域海拔高度在138-144m之间。地貌基本特征表现为波状起伏的低平原，稍高处多为平缓的漫岗，其上植被发育较差；平地上多为草原和耕地，间有许多面积不大的盐碱小丘；低处多为排水不畅的季节性积水洼地和低位沼泽，以及大大小小的碱水泡子。境内无天然河流，只有些通向水泡子的小水沟及人工开凿的排水干渠。</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77" w:name="_Toc22558"/>
      <w:r>
        <w:rPr>
          <w:rFonts w:ascii="Times New Roman" w:hAnsi="Times New Roman" w:eastAsia="宋体" w:cs="Times New Roman"/>
          <w:bCs w:val="0"/>
          <w:color w:val="auto"/>
          <w:szCs w:val="20"/>
          <w:highlight w:val="none"/>
          <w:lang w:val="en-US" w:bidi="ar-SA"/>
        </w:rPr>
        <w:t>4.1.3气候气象</w:t>
      </w:r>
      <w:bookmarkEnd w:id="277"/>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bookmarkStart w:id="278" w:name="_Toc31103"/>
      <w:r>
        <w:rPr>
          <w:rFonts w:hint="eastAsia" w:ascii="Times New Roman" w:hAnsi="Times New Roman" w:eastAsia="宋体" w:cs="Times New Roman"/>
          <w:color w:val="auto"/>
          <w:sz w:val="24"/>
          <w:szCs w:val="22"/>
          <w:highlight w:val="none"/>
          <w:lang w:val="en-US" w:eastAsia="zh-CN" w:bidi="zh-CN"/>
        </w:rPr>
        <w:t>大庆市气象局近20年气象观测资料显示，本工程范围内属北温带大陆性季风气候，四季分明，受蒙古内陆冷空气和海洋暖流季风影响较大，冬季漫长而寒冷干燥，夏季短暂而温湿多雨，春秋季风交替，气温变化大，冰封期长，无霜期短，冻土深达2-2.2m。</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气温：年平均气温3.3℃，年极端最高气温38.9℃，年极端最低气温-36.2℃。</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风速：平均风速3.7m/s，年最大风速为22.7m/s，SW。</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降水量：年平均442.0mm，年最大降水量651.2mm。</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年平均水气压：8.2hpa。</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降雪量：平均积雪158d，最大积雪深度220.0mm。</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蒸发量：年平均蒸发量1531.4mm，年最大蒸发量1711.0mm，年最大蒸发量1711.0mm，年最小蒸发量1378.4mm。</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79" w:name="_Toc16589"/>
      <w:r>
        <w:rPr>
          <w:rFonts w:ascii="Times New Roman" w:hAnsi="Times New Roman" w:eastAsia="宋体" w:cs="Times New Roman"/>
          <w:bCs w:val="0"/>
          <w:color w:val="auto"/>
          <w:szCs w:val="20"/>
          <w:highlight w:val="none"/>
          <w:lang w:val="en-US" w:bidi="ar-SA"/>
        </w:rPr>
        <w:t>4.1.4区域地质及水文地质条件</w:t>
      </w:r>
      <w:bookmarkEnd w:id="279"/>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（1）第四系上更新统松散层空隙潜水</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分布于全区，含水层岩性为上更新统大兴屯组细砂，厚度2.3~6.0m，包气带岩性由粉质粘土及杂填土组成。地下水水位埋深1.02~3.72m，含水层渗透系数0.6~3.2m/d，弱富水性，单井涌水量小于100m</w:t>
      </w:r>
      <w:r>
        <w:rPr>
          <w:rFonts w:hint="eastAsia" w:ascii="Times New Roman" w:hAnsi="Times New Roman" w:eastAsia="宋体" w:cs="Times New Roman"/>
          <w:color w:val="auto"/>
          <w:sz w:val="24"/>
          <w:szCs w:val="22"/>
          <w:highlight w:val="none"/>
          <w:vertAlign w:val="superscript"/>
          <w:lang w:val="en-US" w:eastAsia="zh-CN" w:bidi="zh-CN"/>
        </w:rPr>
        <w:t>3</w:t>
      </w:r>
      <w:r>
        <w:rPr>
          <w:rFonts w:hint="eastAsia" w:ascii="Times New Roman" w:hAnsi="Times New Roman" w:eastAsia="宋体" w:cs="Times New Roman"/>
          <w:color w:val="auto"/>
          <w:sz w:val="24"/>
          <w:szCs w:val="22"/>
          <w:highlight w:val="none"/>
          <w:lang w:val="en-US" w:eastAsia="zh-CN" w:bidi="zh-CN"/>
        </w:rPr>
        <w:t>/d，地下水化学类型以HCO</w:t>
      </w:r>
      <w:r>
        <w:rPr>
          <w:rFonts w:hint="eastAsia" w:ascii="Times New Roman" w:hAnsi="Times New Roman" w:eastAsia="宋体" w:cs="Times New Roman"/>
          <w:color w:val="auto"/>
          <w:sz w:val="24"/>
          <w:szCs w:val="22"/>
          <w:highlight w:val="none"/>
          <w:vertAlign w:val="superscript"/>
          <w:lang w:val="en-US" w:eastAsia="zh-CN" w:bidi="zh-CN"/>
        </w:rPr>
        <w:t>3</w:t>
      </w:r>
      <w:r>
        <w:rPr>
          <w:rFonts w:hint="eastAsia" w:ascii="Times New Roman" w:hAnsi="Times New Roman" w:eastAsia="宋体" w:cs="Times New Roman"/>
          <w:color w:val="auto"/>
          <w:sz w:val="24"/>
          <w:szCs w:val="22"/>
          <w:highlight w:val="none"/>
          <w:lang w:val="en-US" w:eastAsia="zh-CN" w:bidi="zh-CN"/>
        </w:rPr>
        <w:t>-Na型水为主。该层水无开采供水意义。</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（2）第四系中更新统林甸组松散岩类孔隙承压水</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分布于全区，含水层主要由河湖相沉积的灰白色，杂色砂，砂砾石组成，偶夹粘土透镜体、含水层顶板埋深30.0~40.0m，含水层厚度2.0~10.0m，承压水头高度30.56~36.80m，渗透系数5.0~15.0m/d。富水性中等，单井涌水量为100~1000m3/d。地下水水位水化学类型以HCO</w:t>
      </w:r>
      <w:r>
        <w:rPr>
          <w:rFonts w:hint="eastAsia" w:ascii="Times New Roman" w:hAnsi="Times New Roman" w:eastAsia="宋体" w:cs="Times New Roman"/>
          <w:color w:val="auto"/>
          <w:sz w:val="24"/>
          <w:szCs w:val="22"/>
          <w:highlight w:val="none"/>
          <w:vertAlign w:val="subscript"/>
          <w:lang w:val="en-US" w:eastAsia="zh-CN" w:bidi="zh-CN"/>
        </w:rPr>
        <w:t>3</w:t>
      </w:r>
      <w:r>
        <w:rPr>
          <w:rFonts w:hint="eastAsia" w:ascii="Times New Roman" w:hAnsi="Times New Roman" w:eastAsia="宋体" w:cs="Times New Roman"/>
          <w:color w:val="auto"/>
          <w:sz w:val="24"/>
          <w:szCs w:val="22"/>
          <w:highlight w:val="none"/>
          <w:lang w:val="en-US" w:eastAsia="zh-CN" w:bidi="zh-CN"/>
        </w:rPr>
        <w:t>-Na、Ca型水，矿化度&lt;0.5gL，PH值7.10~8.20，总硬度0.93~2.28mmol/L该层水是工业用水和生活用水的主要供水目的层。</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（3）第三系依安组碎屑岩孔隙裂隙承压水</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含水层主要由砂岩，泥质粉砂岩组成，厚度10~30m，承压水头45~52m，渗透系数1.26~8.66m/d，富水性中等，单井涌水量100~1000m</w:t>
      </w:r>
      <w:r>
        <w:rPr>
          <w:rFonts w:hint="eastAsia" w:ascii="Times New Roman" w:hAnsi="Times New Roman" w:eastAsia="宋体" w:cs="Times New Roman"/>
          <w:color w:val="auto"/>
          <w:sz w:val="24"/>
          <w:szCs w:val="22"/>
          <w:highlight w:val="none"/>
          <w:vertAlign w:val="superscript"/>
          <w:lang w:val="en-US" w:eastAsia="zh-CN" w:bidi="zh-CN"/>
        </w:rPr>
        <w:t>3</w:t>
      </w:r>
      <w:r>
        <w:rPr>
          <w:rFonts w:hint="eastAsia" w:ascii="Times New Roman" w:hAnsi="Times New Roman" w:eastAsia="宋体" w:cs="Times New Roman"/>
          <w:color w:val="auto"/>
          <w:sz w:val="24"/>
          <w:szCs w:val="22"/>
          <w:highlight w:val="none"/>
          <w:lang w:val="en-US" w:eastAsia="zh-CN" w:bidi="zh-CN"/>
        </w:rPr>
        <w:t>/d。地下水类型为HCO</w:t>
      </w:r>
      <w:r>
        <w:rPr>
          <w:rFonts w:hint="eastAsia" w:ascii="Times New Roman" w:hAnsi="Times New Roman" w:eastAsia="宋体" w:cs="Times New Roman"/>
          <w:color w:val="auto"/>
          <w:sz w:val="24"/>
          <w:szCs w:val="22"/>
          <w:highlight w:val="none"/>
          <w:vertAlign w:val="subscript"/>
          <w:lang w:val="en-US" w:eastAsia="zh-CN" w:bidi="zh-CN"/>
        </w:rPr>
        <w:t>3</w:t>
      </w:r>
      <w:r>
        <w:rPr>
          <w:rFonts w:hint="eastAsia" w:ascii="Times New Roman" w:hAnsi="Times New Roman" w:eastAsia="宋体" w:cs="Times New Roman"/>
          <w:color w:val="auto"/>
          <w:sz w:val="24"/>
          <w:szCs w:val="22"/>
          <w:highlight w:val="none"/>
          <w:lang w:val="en-US" w:eastAsia="zh-CN" w:bidi="zh-CN"/>
        </w:rPr>
        <w:t>-Na、Ca型，矿化度0.27~0.52g/L，水质较好。</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白垩系上统明水组碎屑岩孔隙裂隙承压水</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分布于全区，含水层岩性主要由中粗砂岩，含砾砂岩组成，多以透镜体状分布，单层厚度3.0m~9.0m，累计厚度10.0m~80.0m，局部最厚可达85.0m~126.0m顶板标高-120.0~160.0m，单井出水量430~1700m</w:t>
      </w:r>
      <w:r>
        <w:rPr>
          <w:rFonts w:hint="eastAsia" w:ascii="Times New Roman" w:hAnsi="Times New Roman" w:eastAsia="宋体" w:cs="Times New Roman"/>
          <w:color w:val="auto"/>
          <w:sz w:val="24"/>
          <w:szCs w:val="22"/>
          <w:highlight w:val="none"/>
          <w:vertAlign w:val="superscript"/>
          <w:lang w:val="en-US" w:eastAsia="zh-CN" w:bidi="zh-CN"/>
        </w:rPr>
        <w:t>3</w:t>
      </w:r>
      <w:r>
        <w:rPr>
          <w:rFonts w:hint="eastAsia" w:ascii="Times New Roman" w:hAnsi="Times New Roman" w:eastAsia="宋体" w:cs="Times New Roman"/>
          <w:color w:val="auto"/>
          <w:sz w:val="24"/>
          <w:szCs w:val="22"/>
          <w:highlight w:val="none"/>
          <w:lang w:val="en-US" w:eastAsia="zh-CN" w:bidi="zh-CN"/>
        </w:rPr>
        <w:t>/d最大静水位埋深目前已达到40多米，而60年代初却高出地面10余米地下水化学类型为HCO</w:t>
      </w:r>
      <w:r>
        <w:rPr>
          <w:rFonts w:hint="eastAsia" w:ascii="Times New Roman" w:hAnsi="Times New Roman" w:eastAsia="宋体" w:cs="Times New Roman"/>
          <w:color w:val="auto"/>
          <w:sz w:val="24"/>
          <w:szCs w:val="22"/>
          <w:highlight w:val="none"/>
          <w:vertAlign w:val="subscript"/>
          <w:lang w:val="en-US" w:eastAsia="zh-CN" w:bidi="zh-CN"/>
        </w:rPr>
        <w:t>3</w:t>
      </w:r>
      <w:r>
        <w:rPr>
          <w:rFonts w:hint="eastAsia" w:ascii="Times New Roman" w:hAnsi="Times New Roman" w:eastAsia="宋体" w:cs="Times New Roman"/>
          <w:color w:val="auto"/>
          <w:sz w:val="24"/>
          <w:szCs w:val="22"/>
          <w:highlight w:val="none"/>
          <w:lang w:val="en-US" w:eastAsia="zh-CN" w:bidi="zh-CN"/>
        </w:rPr>
        <w:t>-Na型水，矿化度小于0.3g/L。</w:t>
      </w:r>
    </w:p>
    <w:p>
      <w:pPr>
        <w:autoSpaceDE w:val="0"/>
        <w:autoSpaceDN w:val="0"/>
        <w:bidi w:val="0"/>
        <w:spacing w:before="0" w:after="0" w:line="500" w:lineRule="exact"/>
        <w:ind w:left="0" w:right="0" w:firstLine="480" w:firstLineChars="200"/>
        <w:jc w:val="left"/>
        <w:rPr>
          <w:rFonts w:hint="eastAsia" w:ascii="Times New Roman" w:hAnsi="Times New Roman" w:eastAsia="宋体" w:cs="Times New Roman"/>
          <w:color w:val="auto"/>
          <w:sz w:val="24"/>
          <w:szCs w:val="22"/>
          <w:highlight w:val="none"/>
          <w:lang w:val="en-US" w:eastAsia="zh-CN" w:bidi="zh-CN"/>
        </w:rPr>
      </w:pPr>
      <w:r>
        <w:rPr>
          <w:rFonts w:hint="eastAsia" w:ascii="Times New Roman" w:hAnsi="Times New Roman" w:eastAsia="宋体" w:cs="Times New Roman"/>
          <w:color w:val="auto"/>
          <w:sz w:val="24"/>
          <w:szCs w:val="22"/>
          <w:highlight w:val="none"/>
          <w:lang w:val="en-US" w:eastAsia="zh-CN" w:bidi="zh-CN"/>
        </w:rPr>
        <w:t>项目所在场址孔隙潜水地下水流向为东北向西南流。</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80" w:name="_Toc29127"/>
      <w:r>
        <w:rPr>
          <w:rFonts w:ascii="Times New Roman" w:hAnsi="Times New Roman" w:eastAsia="宋体" w:cs="Times New Roman"/>
          <w:bCs w:val="0"/>
          <w:color w:val="auto"/>
          <w:szCs w:val="20"/>
          <w:highlight w:val="none"/>
          <w:lang w:val="en-US" w:bidi="ar-SA"/>
        </w:rPr>
        <w:t>4.1.5地表水</w:t>
      </w:r>
      <w:bookmarkEnd w:id="280"/>
    </w:p>
    <w:p>
      <w:pPr>
        <w:bidi w:val="0"/>
        <w:rPr>
          <w:color w:val="auto"/>
          <w:highlight w:val="none"/>
        </w:rPr>
      </w:pPr>
      <w:r>
        <w:rPr>
          <w:color w:val="auto"/>
          <w:highlight w:val="none"/>
        </w:rPr>
        <w:t>区域内地表水文状况属安达闭流区，无天然河流，大气降水都汇集到低洼地，无法排出区外。区域内的主要地表水体为</w:t>
      </w:r>
      <w:r>
        <w:rPr>
          <w:rFonts w:hint="eastAsia"/>
          <w:color w:val="auto"/>
          <w:highlight w:val="none"/>
          <w:lang w:eastAsia="zh-CN"/>
        </w:rPr>
        <w:t>库里泡</w:t>
      </w:r>
      <w:r>
        <w:rPr>
          <w:color w:val="auto"/>
          <w:highlight w:val="none"/>
        </w:rPr>
        <w:t>。</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81" w:name="_Toc17783"/>
      <w:r>
        <w:rPr>
          <w:rFonts w:ascii="Times New Roman" w:hAnsi="Times New Roman" w:eastAsia="宋体" w:cs="Times New Roman"/>
          <w:bCs w:val="0"/>
          <w:color w:val="auto"/>
          <w:szCs w:val="20"/>
          <w:highlight w:val="none"/>
          <w:lang w:val="en-US" w:bidi="ar-SA"/>
        </w:rPr>
        <w:t>4.1.6土壤类型与植被分布</w:t>
      </w:r>
      <w:bookmarkEnd w:id="281"/>
    </w:p>
    <w:p>
      <w:pPr>
        <w:bidi w:val="0"/>
        <w:rPr>
          <w:rFonts w:ascii="Times New Roman" w:hAnsi="Times New Roman" w:eastAsia="宋体" w:cs="Times New Roman"/>
          <w:caps w:val="0"/>
          <w:smallCaps w:val="0"/>
          <w:color w:val="auto"/>
          <w:spacing w:val="0"/>
          <w:w w:val="99"/>
          <w:position w:val="0"/>
          <w:highlight w:val="none"/>
        </w:rPr>
      </w:pPr>
      <w:r>
        <w:rPr>
          <w:color w:val="auto"/>
          <w:highlight w:val="none"/>
        </w:rPr>
        <w:t>工程所在区域内主要土壤类型为盐碱土、草甸土、沼泽土，并有少量的碳酸盐黑钙土分布。</w:t>
      </w:r>
    </w:p>
    <w:p>
      <w:pPr>
        <w:bidi w:val="0"/>
        <w:rPr>
          <w:color w:val="auto"/>
          <w:highlight w:val="none"/>
        </w:rPr>
      </w:pPr>
      <w:r>
        <w:rPr>
          <w:color w:val="auto"/>
          <w:highlight w:val="none"/>
        </w:rPr>
        <w:t>工程所在区域内植被呈复区镶嵌分布，植被稀疏，粮食单产较低。植物资源以草本植物为主体，草原天然植被属于</w:t>
      </w:r>
      <w:r>
        <w:rPr>
          <w:rFonts w:hint="eastAsia"/>
          <w:color w:val="auto"/>
          <w:highlight w:val="none"/>
          <w:lang w:eastAsia="zh-CN"/>
        </w:rPr>
        <w:t>“</w:t>
      </w:r>
      <w:r>
        <w:rPr>
          <w:color w:val="auto"/>
          <w:highlight w:val="none"/>
        </w:rPr>
        <w:t>蒙古植物区系</w:t>
      </w:r>
      <w:r>
        <w:rPr>
          <w:rFonts w:hint="eastAsia"/>
          <w:color w:val="auto"/>
          <w:highlight w:val="none"/>
          <w:lang w:eastAsia="zh-CN"/>
        </w:rPr>
        <w:t>”</w:t>
      </w:r>
      <w:r>
        <w:rPr>
          <w:color w:val="auto"/>
          <w:highlight w:val="none"/>
        </w:rPr>
        <w:t>。在植物方面，目前主要为天然牧草，低洼地范围内生长有芦苇、三棱草、蒲草等植被；在地势较高处草原植被较为茂盛繁杂，羊草、萎菱菜和针茅为优势种，伴生种有蒿属等植物，同时还分布有碱草、碱蒿等耐盐碱植物；区域内农作物主要为玉米、土豆、白菜及其它应季蔬菜等。</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82" w:name="_Toc14164"/>
      <w:r>
        <w:rPr>
          <w:rFonts w:ascii="Times New Roman" w:hAnsi="Times New Roman" w:eastAsia="宋体" w:cs="Times New Roman"/>
          <w:bCs w:val="0"/>
          <w:color w:val="auto"/>
          <w:szCs w:val="20"/>
          <w:highlight w:val="none"/>
          <w:lang w:val="en-US" w:bidi="ar-SA"/>
        </w:rPr>
        <w:t>4.1.7野生动物分布</w:t>
      </w:r>
      <w:bookmarkEnd w:id="282"/>
    </w:p>
    <w:p>
      <w:pPr>
        <w:bidi w:val="0"/>
        <w:rPr>
          <w:color w:val="auto"/>
          <w:highlight w:val="none"/>
        </w:rPr>
      </w:pPr>
      <w:r>
        <w:rPr>
          <w:color w:val="auto"/>
          <w:highlight w:val="none"/>
        </w:rPr>
        <w:t>区域内野生动物种类和数量均较少，伴随人类生存的农田小型鼠类、麻雀、家燕等种群数量较多，使陆生动物区系具有典型的农田动物群色彩。</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83" w:name="_Toc2014"/>
      <w:bookmarkStart w:id="284" w:name="_Toc20101"/>
      <w:r>
        <w:rPr>
          <w:rFonts w:hint="eastAsia" w:ascii="Times New Roman" w:hAnsi="Times New Roman" w:eastAsia="宋体" w:cs="Times New Roman"/>
          <w:bCs w:val="0"/>
          <w:color w:val="auto"/>
          <w:kern w:val="2"/>
          <w:szCs w:val="20"/>
          <w:highlight w:val="none"/>
          <w:lang w:val="en-US" w:bidi="ar-SA"/>
        </w:rPr>
        <w:t>4.2环境保护目标调查</w:t>
      </w:r>
      <w:bookmarkEnd w:id="278"/>
      <w:bookmarkEnd w:id="283"/>
      <w:bookmarkEnd w:id="284"/>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285" w:name="_Toc15239"/>
      <w:r>
        <w:rPr>
          <w:rFonts w:ascii="Times New Roman" w:hAnsi="Times New Roman" w:eastAsia="宋体" w:cs="Times New Roman"/>
          <w:bCs w:val="0"/>
          <w:color w:val="auto"/>
          <w:szCs w:val="20"/>
          <w:highlight w:val="none"/>
          <w:lang w:val="en-US" w:bidi="ar-SA"/>
        </w:rPr>
        <w:t>4.2.</w:t>
      </w:r>
      <w:r>
        <w:rPr>
          <w:rFonts w:hint="eastAsia" w:ascii="Times New Roman" w:hAnsi="Times New Roman" w:eastAsia="宋体" w:cs="Times New Roman"/>
          <w:bCs w:val="0"/>
          <w:color w:val="auto"/>
          <w:szCs w:val="20"/>
          <w:highlight w:val="none"/>
          <w:lang w:val="en-US" w:eastAsia="zh-CN" w:bidi="ar-SA"/>
        </w:rPr>
        <w:t>1</w:t>
      </w:r>
      <w:r>
        <w:rPr>
          <w:rFonts w:ascii="Times New Roman" w:hAnsi="Times New Roman" w:eastAsia="宋体" w:cs="Times New Roman"/>
          <w:bCs w:val="0"/>
          <w:color w:val="auto"/>
          <w:szCs w:val="20"/>
          <w:highlight w:val="none"/>
          <w:lang w:val="en-US" w:bidi="ar-SA"/>
        </w:rPr>
        <w:t>环境保护目标</w:t>
      </w:r>
      <w:bookmarkEnd w:id="285"/>
    </w:p>
    <w:p>
      <w:pPr>
        <w:bidi w:val="0"/>
        <w:rPr>
          <w:rFonts w:ascii="Times New Roman" w:hAnsi="Times New Roman" w:cs="Times New Roman"/>
          <w:color w:val="auto"/>
          <w:highlight w:val="none"/>
        </w:rPr>
      </w:pPr>
      <w:bookmarkStart w:id="286" w:name="_Toc12512"/>
      <w:r>
        <w:rPr>
          <w:rFonts w:ascii="Times New Roman" w:hAnsi="Times New Roman" w:cs="Times New Roman"/>
          <w:color w:val="auto"/>
          <w:highlight w:val="none"/>
        </w:rPr>
        <w:t>本项目位于</w:t>
      </w:r>
      <w:r>
        <w:rPr>
          <w:rFonts w:hint="eastAsia" w:cs="Times New Roman"/>
          <w:color w:val="auto"/>
          <w:highlight w:val="none"/>
          <w:lang w:eastAsia="zh-CN"/>
        </w:rPr>
        <w:t>黑龙江大同经济开发区纸业园区</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利用本项目原有厂址进行改建</w:t>
      </w:r>
      <w:r>
        <w:rPr>
          <w:rFonts w:ascii="Times New Roman" w:hAnsi="Times New Roman" w:cs="Times New Roman"/>
          <w:color w:val="auto"/>
          <w:highlight w:val="none"/>
        </w:rPr>
        <w:t>，项目东侧</w:t>
      </w:r>
      <w:r>
        <w:rPr>
          <w:rFonts w:hint="eastAsia" w:ascii="Times New Roman" w:hAnsi="Times New Roman" w:cs="Times New Roman"/>
          <w:color w:val="auto"/>
          <w:highlight w:val="none"/>
          <w:lang w:eastAsia="zh-CN"/>
        </w:rPr>
        <w:t>为大庆宏亚纸业有限公司</w:t>
      </w:r>
      <w:r>
        <w:rPr>
          <w:rFonts w:ascii="Times New Roman" w:hAnsi="Times New Roman" w:cs="Times New Roman"/>
          <w:color w:val="auto"/>
          <w:highlight w:val="none"/>
        </w:rPr>
        <w:t>、西侧</w:t>
      </w:r>
      <w:r>
        <w:rPr>
          <w:rFonts w:hint="eastAsia" w:ascii="Times New Roman" w:hAnsi="Times New Roman" w:cs="Times New Roman"/>
          <w:color w:val="auto"/>
          <w:highlight w:val="none"/>
          <w:lang w:eastAsia="zh-CN"/>
        </w:rPr>
        <w:t>为</w:t>
      </w:r>
      <w:r>
        <w:rPr>
          <w:rFonts w:hint="eastAsia" w:ascii="Times New Roman" w:hAnsi="Times New Roman" w:cs="Times New Roman"/>
          <w:color w:val="auto"/>
          <w:highlight w:val="none"/>
        </w:rPr>
        <w:t>福庆纸业</w:t>
      </w:r>
      <w:r>
        <w:rPr>
          <w:rFonts w:hint="eastAsia" w:ascii="Times New Roman" w:hAnsi="Times New Roman" w:cs="Times New Roman"/>
          <w:color w:val="auto"/>
          <w:highlight w:val="none"/>
          <w:lang w:eastAsia="zh-CN"/>
        </w:rPr>
        <w:t>有限公司</w:t>
      </w:r>
      <w:r>
        <w:rPr>
          <w:rFonts w:ascii="Times New Roman" w:hAnsi="Times New Roman" w:cs="Times New Roman"/>
          <w:color w:val="auto"/>
          <w:highlight w:val="none"/>
        </w:rPr>
        <w:t>，北侧为</w:t>
      </w:r>
      <w:r>
        <w:rPr>
          <w:rFonts w:hint="eastAsia" w:ascii="Times New Roman" w:hAnsi="Times New Roman" w:cs="Times New Roman"/>
          <w:color w:val="auto"/>
          <w:highlight w:val="none"/>
        </w:rPr>
        <w:t>德昌伟业</w:t>
      </w:r>
      <w:r>
        <w:rPr>
          <w:rFonts w:hint="eastAsia" w:ascii="Times New Roman" w:hAnsi="Times New Roman" w:cs="Times New Roman"/>
          <w:color w:val="auto"/>
          <w:highlight w:val="none"/>
          <w:lang w:eastAsia="zh-CN"/>
        </w:rPr>
        <w:t>化工有限公司</w:t>
      </w:r>
      <w:r>
        <w:rPr>
          <w:rFonts w:ascii="Times New Roman" w:hAnsi="Times New Roman" w:cs="Times New Roman"/>
          <w:color w:val="auto"/>
          <w:highlight w:val="none"/>
        </w:rPr>
        <w:t>，南侧为空地。</w:t>
      </w:r>
      <w:r>
        <w:rPr>
          <w:rFonts w:hint="eastAsia" w:ascii="Times New Roman" w:hAnsi="Times New Roman" w:cs="Times New Roman"/>
          <w:color w:val="auto"/>
          <w:highlight w:val="none"/>
        </w:rPr>
        <w:t>经现场调查，本项目评价区内无国家、省、市级自然保护区、风景名胜区和文物保护单位，环境保护目标主要为评价区范围内受项目排污影响的大气环境、水环境、声环境、土壤环境。同时，通过对评价范围内环境及人群分布情况的调查，确定本项目的环境保护目标， 项目环境保护目标见表</w:t>
      </w:r>
      <w:r>
        <w:rPr>
          <w:rFonts w:hint="eastAsia" w:ascii="Times New Roman" w:hAnsi="Times New Roman" w:cs="Times New Roman"/>
          <w:color w:val="auto"/>
          <w:highlight w:val="none"/>
          <w:lang w:val="en-US" w:eastAsia="zh-CN"/>
        </w:rPr>
        <w:t>4.2.1</w:t>
      </w:r>
      <w:r>
        <w:rPr>
          <w:rFonts w:ascii="Times New Roman" w:hAnsi="Times New Roman" w:cs="Times New Roman"/>
          <w:color w:val="auto"/>
          <w:highlight w:val="none"/>
        </w:rPr>
        <w:t>-1。</w:t>
      </w:r>
    </w:p>
    <w:p>
      <w:pPr>
        <w:bidi w:val="0"/>
        <w:rPr>
          <w:rFonts w:hint="eastAsia" w:ascii="Times New Roman" w:hAnsi="Times New Roman" w:cs="Times New Roman"/>
          <w:color w:val="auto"/>
          <w:highlight w:val="none"/>
        </w:rPr>
      </w:pPr>
      <w:r>
        <w:rPr>
          <w:rFonts w:hint="eastAsia"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4.2.1</w:t>
      </w:r>
      <w:r>
        <w:rPr>
          <w:rFonts w:hint="eastAsia" w:ascii="Times New Roman" w:hAnsi="Times New Roman" w:cs="Times New Roman"/>
          <w:color w:val="auto"/>
          <w:highlight w:val="none"/>
        </w:rPr>
        <w:t xml:space="preserve">-1  </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rPr>
        <w:t>环境敏感目标</w:t>
      </w:r>
    </w:p>
    <w:tbl>
      <w:tblPr>
        <w:tblStyle w:val="23"/>
        <w:tblW w:w="90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08"/>
        <w:gridCol w:w="2009"/>
        <w:gridCol w:w="1918"/>
        <w:gridCol w:w="1924"/>
        <w:gridCol w:w="20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环境要素</w:t>
            </w: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保护对象</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相对厂区边界位置、最近距离m</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受影响人数</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人）</w:t>
            </w:r>
          </w:p>
        </w:tc>
        <w:tc>
          <w:tcPr>
            <w:tcW w:w="2055"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功能要求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环境空气</w:t>
            </w: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老山头乡</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W</w:t>
            </w:r>
            <w:r>
              <w:rPr>
                <w:rFonts w:hint="eastAsia" w:ascii="Times New Roman" w:hAnsi="Times New Roman" w:eastAsia="宋体" w:cs="Times New Roman"/>
                <w:caps w:val="0"/>
                <w:smallCaps w:val="0"/>
                <w:color w:val="auto"/>
                <w:spacing w:val="0"/>
                <w:w w:val="100"/>
                <w:position w:val="0"/>
                <w:sz w:val="21"/>
                <w:szCs w:val="22"/>
                <w:highlight w:val="none"/>
                <w:lang w:val="zh-CN" w:bidi="zh-CN"/>
              </w:rPr>
              <w:t>，23</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73</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3000</w:t>
            </w:r>
          </w:p>
        </w:tc>
        <w:tc>
          <w:tcPr>
            <w:tcW w:w="2055"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 xml:space="preserve">《环境空气质量标准》  </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GB3095-2012）及其修改单中二级标准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四大家屯</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SW，2426</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500</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乔家围子</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SE，1241</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300</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后乔家围子</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SE，210</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300</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永久村</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NE，1844</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500</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地下水环境</w:t>
            </w: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散户（</w:t>
            </w:r>
            <w:r>
              <w:rPr>
                <w:rFonts w:hint="eastAsia" w:cs="Times New Roman"/>
                <w:caps w:val="0"/>
                <w:smallCaps w:val="0"/>
                <w:color w:val="auto"/>
                <w:spacing w:val="0"/>
                <w:w w:val="100"/>
                <w:position w:val="0"/>
                <w:sz w:val="21"/>
                <w:szCs w:val="22"/>
                <w:highlight w:val="none"/>
                <w:lang w:val="en-US" w:eastAsia="zh-CN" w:bidi="zh-CN"/>
              </w:rPr>
              <w:t>1户、</w:t>
            </w:r>
            <w:r>
              <w:rPr>
                <w:rFonts w:hint="eastAsia" w:cs="Times New Roman"/>
                <w:caps w:val="0"/>
                <w:smallCaps w:val="0"/>
                <w:color w:val="auto"/>
                <w:spacing w:val="0"/>
                <w:w w:val="100"/>
                <w:position w:val="0"/>
                <w:sz w:val="21"/>
                <w:szCs w:val="22"/>
                <w:highlight w:val="none"/>
                <w:lang w:val="zh-CN" w:eastAsia="zh-CN" w:bidi="zh-CN"/>
              </w:rPr>
              <w:t>赵家</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p>
        </w:tc>
        <w:tc>
          <w:tcPr>
            <w:tcW w:w="1918"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ascii="Times New Roman" w:hAnsi="Times New Roman" w:eastAsia="宋体" w:cs="Times New Roman"/>
                <w:caps w:val="0"/>
                <w:smallCaps w:val="0"/>
                <w:color w:val="auto"/>
                <w:spacing w:val="0"/>
                <w:w w:val="100"/>
                <w:position w:val="0"/>
                <w:sz w:val="21"/>
                <w:szCs w:val="21"/>
                <w:highlight w:val="none"/>
              </w:rPr>
              <w:t>N</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1216</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井深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75m，生活饮用水</w:t>
            </w:r>
          </w:p>
        </w:tc>
        <w:tc>
          <w:tcPr>
            <w:tcW w:w="2055"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《地下水质量标准》</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GB/T14848-2017）Ⅲ类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大庆金开元加工厂</w:t>
            </w:r>
          </w:p>
        </w:tc>
        <w:tc>
          <w:tcPr>
            <w:tcW w:w="1918"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NE</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686</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井深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74m、仅供该企业厂区生产、绿化用水井</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大庆虹桥纸业有限公司</w:t>
            </w:r>
          </w:p>
        </w:tc>
        <w:tc>
          <w:tcPr>
            <w:tcW w:w="1918"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NW,423</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井深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75m、仅供该企业厂区生产、绿化用水井</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后桥家围子</w:t>
            </w:r>
          </w:p>
        </w:tc>
        <w:tc>
          <w:tcPr>
            <w:tcW w:w="1918"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w:t>
            </w:r>
            <w:r>
              <w:rPr>
                <w:rFonts w:hint="eastAsia" w:cs="Times New Roman"/>
                <w:caps w:val="0"/>
                <w:smallCaps w:val="0"/>
                <w:color w:val="auto"/>
                <w:spacing w:val="0"/>
                <w:w w:val="100"/>
                <w:position w:val="0"/>
                <w:sz w:val="21"/>
                <w:szCs w:val="21"/>
                <w:highlight w:val="none"/>
                <w:lang w:val="en-US" w:eastAsia="zh-CN"/>
              </w:rPr>
              <w:t>210</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71m，生活饮用水</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桥家围子</w:t>
            </w:r>
          </w:p>
        </w:tc>
        <w:tc>
          <w:tcPr>
            <w:tcW w:w="1918" w:type="dxa"/>
            <w:vAlign w:val="center"/>
          </w:tcPr>
          <w:p>
            <w:pPr>
              <w:keepNext w:val="0"/>
              <w:keepLines w:val="0"/>
              <w:pageBreakBefore w:val="0"/>
              <w:widowControl w:val="0"/>
              <w:kinsoku/>
              <w:wordWrap/>
              <w:overflowPunct/>
              <w:topLinePunct w:val="0"/>
              <w:autoSpaceDE/>
              <w:autoSpaceDN/>
              <w:bidi w:val="0"/>
              <w:adjustRightInd/>
              <w:snapToGrid/>
              <w:spacing w:before="0"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SE,1365</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72m，生活饮用水</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项目厂址</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井深</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74m、仅供该企业厂区生产、绿化用水井</w:t>
            </w:r>
          </w:p>
        </w:tc>
        <w:tc>
          <w:tcPr>
            <w:tcW w:w="2055"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地表水</w:t>
            </w:r>
          </w:p>
        </w:tc>
        <w:tc>
          <w:tcPr>
            <w:tcW w:w="2009"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库里泡</w:t>
            </w:r>
          </w:p>
        </w:tc>
        <w:tc>
          <w:tcPr>
            <w:tcW w:w="191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SE，5200</w:t>
            </w:r>
          </w:p>
        </w:tc>
        <w:tc>
          <w:tcPr>
            <w:tcW w:w="1924"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w:t>
            </w:r>
          </w:p>
        </w:tc>
        <w:tc>
          <w:tcPr>
            <w:tcW w:w="2055"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《地表水环境质量标准》（GB3838-2002） 中</w:t>
            </w:r>
            <w:r>
              <w:rPr>
                <w:rFonts w:hint="eastAsia" w:cs="Times New Roman"/>
                <w:caps w:val="0"/>
                <w:smallCaps w:val="0"/>
                <w:color w:val="auto"/>
                <w:spacing w:val="0"/>
                <w:w w:val="100"/>
                <w:position w:val="0"/>
                <w:sz w:val="21"/>
                <w:szCs w:val="22"/>
                <w:highlight w:val="none"/>
                <w:lang w:val="en-US" w:eastAsia="zh-CN" w:bidi="zh-CN"/>
              </w:rPr>
              <w:t>Ⅴ</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类水体标准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声环境</w:t>
            </w:r>
          </w:p>
        </w:tc>
        <w:tc>
          <w:tcPr>
            <w:tcW w:w="5851" w:type="dxa"/>
            <w:gridSpan w:val="3"/>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厂界外200m范围内</w:t>
            </w:r>
          </w:p>
        </w:tc>
        <w:tc>
          <w:tcPr>
            <w:tcW w:w="2055"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《声环境质量标准》</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GB3096-2008）2类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08"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2"/>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土壤环境</w:t>
            </w:r>
          </w:p>
        </w:tc>
        <w:tc>
          <w:tcPr>
            <w:tcW w:w="5851" w:type="dxa"/>
            <w:gridSpan w:val="3"/>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bidi="zh-CN"/>
              </w:rPr>
              <w:t>占地范围外</w:t>
            </w:r>
            <w:r>
              <w:rPr>
                <w:rFonts w:hint="eastAsia" w:ascii="Times New Roman" w:hAnsi="Times New Roman" w:eastAsia="宋体" w:cs="Times New Roman"/>
                <w:caps w:val="0"/>
                <w:smallCaps w:val="0"/>
                <w:color w:val="auto"/>
                <w:spacing w:val="0"/>
                <w:w w:val="100"/>
                <w:position w:val="0"/>
                <w:sz w:val="21"/>
                <w:szCs w:val="22"/>
                <w:highlight w:val="none"/>
                <w:lang w:val="en-US" w:eastAsia="zh-CN" w:bidi="zh-CN"/>
              </w:rPr>
              <w:t>200</w:t>
            </w:r>
            <w:r>
              <w:rPr>
                <w:rFonts w:hint="eastAsia" w:ascii="Times New Roman" w:hAnsi="Times New Roman" w:eastAsia="宋体" w:cs="Times New Roman"/>
                <w:caps w:val="0"/>
                <w:smallCaps w:val="0"/>
                <w:color w:val="auto"/>
                <w:spacing w:val="0"/>
                <w:w w:val="100"/>
                <w:position w:val="0"/>
                <w:sz w:val="21"/>
                <w:szCs w:val="22"/>
                <w:highlight w:val="none"/>
                <w:lang w:val="zh-CN" w:bidi="zh-CN"/>
              </w:rPr>
              <w:t>m范围内</w:t>
            </w:r>
          </w:p>
        </w:tc>
        <w:tc>
          <w:tcPr>
            <w:tcW w:w="2055" w:type="dxa"/>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2"/>
                <w:highlight w:val="none"/>
                <w:lang w:val="zh-CN" w:bidi="zh-CN"/>
              </w:rPr>
            </w:pP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土壤环境质量 建设用地土壤污染风险管控标准</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试行）</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r>
              <w:rPr>
                <w:rFonts w:hint="eastAsia" w:ascii="Times New Roman" w:hAnsi="Times New Roman" w:eastAsia="宋体" w:cs="Times New Roman"/>
                <w:caps w:val="0"/>
                <w:smallCaps w:val="0"/>
                <w:color w:val="auto"/>
                <w:spacing w:val="0"/>
                <w:w w:val="100"/>
                <w:position w:val="0"/>
                <w:sz w:val="21"/>
                <w:szCs w:val="22"/>
                <w:highlight w:val="none"/>
                <w:lang w:val="zh-CN" w:bidi="zh-CN"/>
              </w:rPr>
              <w:t>GB36600-2018</w:t>
            </w:r>
            <w:r>
              <w:rPr>
                <w:rFonts w:hint="eastAsia" w:ascii="Times New Roman" w:hAnsi="Times New Roman" w:eastAsia="宋体" w:cs="Times New Roman"/>
                <w:caps w:val="0"/>
                <w:smallCaps w:val="0"/>
                <w:color w:val="auto"/>
                <w:spacing w:val="0"/>
                <w:w w:val="100"/>
                <w:position w:val="0"/>
                <w:sz w:val="21"/>
                <w:szCs w:val="22"/>
                <w:highlight w:val="none"/>
                <w:lang w:val="zh-CN" w:eastAsia="zh-CN" w:bidi="zh-CN"/>
              </w:rPr>
              <w:t>）</w:t>
            </w:r>
          </w:p>
        </w:tc>
      </w:tr>
    </w:tbl>
    <w:p>
      <w:pPr>
        <w:pStyle w:val="6"/>
        <w:bidi w:val="0"/>
        <w:rPr>
          <w:color w:val="auto"/>
          <w:highlight w:val="none"/>
        </w:rPr>
      </w:pPr>
      <w:bookmarkStart w:id="287" w:name="_Toc16765"/>
      <w:bookmarkStart w:id="288" w:name="_Toc28852"/>
      <w:r>
        <w:rPr>
          <w:color w:val="auto"/>
          <w:highlight w:val="none"/>
        </w:rPr>
        <w:t>4.3环境空气质量现状调查与评价</w:t>
      </w:r>
      <w:bookmarkEnd w:id="286"/>
      <w:bookmarkEnd w:id="287"/>
      <w:bookmarkEnd w:id="288"/>
    </w:p>
    <w:p>
      <w:pPr>
        <w:pStyle w:val="7"/>
        <w:bidi w:val="0"/>
        <w:rPr>
          <w:color w:val="auto"/>
          <w:highlight w:val="none"/>
        </w:rPr>
      </w:pPr>
      <w:bookmarkStart w:id="289" w:name="_Toc24770"/>
      <w:bookmarkStart w:id="290" w:name="_Toc158875917"/>
      <w:bookmarkStart w:id="291" w:name="_Toc8726"/>
      <w:bookmarkStart w:id="292" w:name="_Toc8059"/>
      <w:bookmarkStart w:id="293" w:name="_Toc422307270"/>
      <w:bookmarkStart w:id="294" w:name="_Toc16740"/>
      <w:bookmarkStart w:id="295" w:name="_Toc21164"/>
      <w:bookmarkStart w:id="296" w:name="_Toc734"/>
      <w:bookmarkStart w:id="297" w:name="_Toc24614"/>
      <w:bookmarkStart w:id="298" w:name="_Toc30734"/>
      <w:r>
        <w:rPr>
          <w:color w:val="auto"/>
          <w:highlight w:val="none"/>
        </w:rPr>
        <w:t>4.3.1环境空气质量现状评价</w:t>
      </w:r>
      <w:bookmarkEnd w:id="289"/>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4.3.1.1环境空气质量达标区判定</w:t>
      </w:r>
    </w:p>
    <w:p>
      <w:pPr>
        <w:pStyle w:val="27"/>
        <w:bidi w:val="0"/>
        <w:rPr>
          <w:rFonts w:hint="default"/>
          <w:color w:val="auto"/>
        </w:rPr>
      </w:pPr>
      <w:r>
        <w:rPr>
          <w:rFonts w:hint="default"/>
          <w:color w:val="auto"/>
        </w:rPr>
        <w:t>根据大庆市生态环境局2023年6月5日发布的《2022年大庆市生态环境状况公报》，2022年，大庆市城区环境空气中二氧化硫年均浓度为7μg/m3，日均值浓度范围为3～27μg/m</w:t>
      </w:r>
      <w:r>
        <w:rPr>
          <w:rFonts w:hint="default"/>
          <w:color w:val="auto"/>
          <w:vertAlign w:val="superscript"/>
        </w:rPr>
        <w:t>3</w:t>
      </w:r>
      <w:r>
        <w:rPr>
          <w:rFonts w:hint="default"/>
          <w:color w:val="auto"/>
        </w:rPr>
        <w:t>，优于国家环境空气质量一级标准限值；二氧化氮年均浓度为16μg/m</w:t>
      </w:r>
      <w:r>
        <w:rPr>
          <w:rFonts w:hint="default"/>
          <w:color w:val="auto"/>
          <w:vertAlign w:val="superscript"/>
        </w:rPr>
        <w:t>3</w:t>
      </w:r>
      <w:r>
        <w:rPr>
          <w:rFonts w:hint="default"/>
          <w:color w:val="auto"/>
        </w:rPr>
        <w:t>，日均值浓度范围为3～62μg/m</w:t>
      </w:r>
      <w:r>
        <w:rPr>
          <w:rFonts w:hint="default"/>
          <w:color w:val="auto"/>
          <w:vertAlign w:val="superscript"/>
        </w:rPr>
        <w:t>3</w:t>
      </w:r>
      <w:r>
        <w:rPr>
          <w:rFonts w:hint="default"/>
          <w:color w:val="auto"/>
        </w:rPr>
        <w:t>，优于国家环境空气质量一级标准限值；可吸入颗粒物（PM10）年均浓度为38μg/m</w:t>
      </w:r>
      <w:r>
        <w:rPr>
          <w:rFonts w:hint="default"/>
          <w:color w:val="auto"/>
          <w:vertAlign w:val="superscript"/>
        </w:rPr>
        <w:t>3</w:t>
      </w:r>
      <w:r>
        <w:rPr>
          <w:rFonts w:hint="default"/>
          <w:color w:val="auto"/>
        </w:rPr>
        <w:t>，日均值浓度范围为8～213μg/m</w:t>
      </w:r>
      <w:r>
        <w:rPr>
          <w:rFonts w:hint="default"/>
          <w:color w:val="auto"/>
          <w:vertAlign w:val="superscript"/>
        </w:rPr>
        <w:t>3</w:t>
      </w:r>
      <w:r>
        <w:rPr>
          <w:rFonts w:hint="default"/>
          <w:color w:val="auto"/>
        </w:rPr>
        <w:t>，优于国家环境空气质量二级标准限值；细颗粒物（PM2.5）年均浓度为26μg/m</w:t>
      </w:r>
      <w:r>
        <w:rPr>
          <w:rFonts w:hint="default"/>
          <w:color w:val="auto"/>
          <w:vertAlign w:val="superscript"/>
        </w:rPr>
        <w:t>3</w:t>
      </w:r>
      <w:r>
        <w:rPr>
          <w:rFonts w:hint="default"/>
          <w:color w:val="auto"/>
        </w:rPr>
        <w:t>，日均值浓度范围为5～186μg/m</w:t>
      </w:r>
      <w:r>
        <w:rPr>
          <w:rFonts w:hint="default"/>
          <w:color w:val="auto"/>
          <w:vertAlign w:val="superscript"/>
        </w:rPr>
        <w:t>3</w:t>
      </w:r>
      <w:r>
        <w:rPr>
          <w:rFonts w:hint="default"/>
          <w:color w:val="auto"/>
        </w:rPr>
        <w:t>，优于国家环境空气质量二级标准限值；一氧化碳24小时平均第95百分位数为0.9mg/m</w:t>
      </w:r>
      <w:r>
        <w:rPr>
          <w:rFonts w:hint="default"/>
          <w:color w:val="auto"/>
          <w:vertAlign w:val="superscript"/>
        </w:rPr>
        <w:t>3</w:t>
      </w:r>
      <w:r>
        <w:rPr>
          <w:rFonts w:hint="default"/>
          <w:color w:val="auto"/>
        </w:rPr>
        <w:t>，日均浓度范围为0.2～1.5mg/m</w:t>
      </w:r>
      <w:r>
        <w:rPr>
          <w:rFonts w:hint="default"/>
          <w:color w:val="auto"/>
          <w:vertAlign w:val="superscript"/>
        </w:rPr>
        <w:t>3</w:t>
      </w:r>
      <w:r>
        <w:rPr>
          <w:rFonts w:hint="default"/>
          <w:color w:val="auto"/>
        </w:rPr>
        <w:t>，优于国家环境空气质量一级标准限值；臭氧最大8小时平均第90百分位数为110μg/m</w:t>
      </w:r>
      <w:r>
        <w:rPr>
          <w:rFonts w:hint="default"/>
          <w:color w:val="auto"/>
          <w:vertAlign w:val="superscript"/>
        </w:rPr>
        <w:t>3</w:t>
      </w:r>
      <w:r>
        <w:rPr>
          <w:rFonts w:hint="default"/>
          <w:color w:val="auto"/>
        </w:rPr>
        <w:t>，日均值浓度范围为32～148μg/m</w:t>
      </w:r>
      <w:r>
        <w:rPr>
          <w:rFonts w:hint="default"/>
          <w:color w:val="auto"/>
          <w:vertAlign w:val="superscript"/>
        </w:rPr>
        <w:t>3</w:t>
      </w:r>
      <w:r>
        <w:rPr>
          <w:rFonts w:hint="default"/>
          <w:color w:val="auto"/>
        </w:rPr>
        <w:t>，优于国家环境空气质量二级标准限值。区域空气质量现状评价见表</w:t>
      </w:r>
      <w:r>
        <w:rPr>
          <w:rFonts w:hint="eastAsia"/>
          <w:color w:val="auto"/>
          <w:lang w:val="en-US" w:eastAsia="zh-CN"/>
        </w:rPr>
        <w:t>4.3.1.1</w:t>
      </w:r>
      <w:r>
        <w:rPr>
          <w:rFonts w:hint="default"/>
          <w:color w:val="auto"/>
        </w:rPr>
        <w:t>-1。</w:t>
      </w:r>
    </w:p>
    <w:p>
      <w:pPr>
        <w:adjustRightInd w:val="0"/>
        <w:snapToGrid w:val="0"/>
        <w:spacing w:line="440" w:lineRule="exact"/>
        <w:ind w:firstLine="474" w:firstLineChars="200"/>
        <w:jc w:val="left"/>
        <w:rPr>
          <w:rFonts w:ascii="Times New Roman"/>
          <w:w w:val="99"/>
          <w:szCs w:val="24"/>
          <w:highlight w:val="none"/>
        </w:rPr>
      </w:pPr>
      <w:r>
        <w:rPr>
          <w:rFonts w:ascii="Times New Roman"/>
          <w:w w:val="99"/>
          <w:szCs w:val="24"/>
          <w:highlight w:val="none"/>
        </w:rPr>
        <w:t>表</w:t>
      </w:r>
      <w:r>
        <w:rPr>
          <w:rFonts w:hint="eastAsia" w:ascii="Times New Roman"/>
          <w:w w:val="99"/>
          <w:szCs w:val="24"/>
          <w:highlight w:val="none"/>
          <w:lang w:val="en-US" w:eastAsia="zh-CN"/>
        </w:rPr>
        <w:t>4.3.1.1</w:t>
      </w:r>
      <w:r>
        <w:rPr>
          <w:rFonts w:ascii="Times New Roman"/>
          <w:w w:val="99"/>
          <w:szCs w:val="24"/>
          <w:highlight w:val="none"/>
        </w:rPr>
        <w:t>-1          本项目所在区域空气质量现状评价表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2"/>
        <w:gridCol w:w="2136"/>
        <w:gridCol w:w="1763"/>
        <w:gridCol w:w="1575"/>
        <w:gridCol w:w="1307"/>
        <w:gridCol w:w="13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left="0" w:leftChars="0"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污染物</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年评价指标</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left="0" w:leftChars="0"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现状浓度/（μg/m</w:t>
            </w:r>
            <w:r>
              <w:rPr>
                <w:rFonts w:hint="default" w:ascii="Times New Roman" w:hAnsi="Times New Roman" w:eastAsia="宋体" w:cs="Times New Roman"/>
                <w:w w:val="99"/>
                <w:sz w:val="24"/>
                <w:szCs w:val="24"/>
                <w:highlight w:val="none"/>
                <w:vertAlign w:val="superscript"/>
              </w:rPr>
              <w:t>3</w:t>
            </w:r>
            <w:r>
              <w:rPr>
                <w:rFonts w:hint="default" w:ascii="Times New Roman" w:hAnsi="Times New Roman" w:eastAsia="宋体" w:cs="Times New Roman"/>
                <w:w w:val="99"/>
                <w:sz w:val="24"/>
                <w:szCs w:val="24"/>
                <w:highlight w:val="none"/>
              </w:rPr>
              <w:t>）</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left="0" w:leftChars="0"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标准值/（μg/m</w:t>
            </w:r>
            <w:r>
              <w:rPr>
                <w:rFonts w:hint="default" w:ascii="Times New Roman" w:hAnsi="Times New Roman" w:eastAsia="宋体" w:cs="Times New Roman"/>
                <w:w w:val="99"/>
                <w:sz w:val="24"/>
                <w:szCs w:val="24"/>
                <w:highlight w:val="none"/>
                <w:vertAlign w:val="superscript"/>
              </w:rPr>
              <w:t>3</w:t>
            </w:r>
            <w:r>
              <w:rPr>
                <w:rFonts w:hint="default" w:ascii="Times New Roman" w:hAnsi="Times New Roman" w:eastAsia="宋体" w:cs="Times New Roman"/>
                <w:w w:val="99"/>
                <w:sz w:val="24"/>
                <w:szCs w:val="24"/>
                <w:highlight w:val="none"/>
              </w:rPr>
              <w:t>）</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left="0" w:leftChars="0"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占标率/%</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left="0" w:leftChars="0"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SO</w:t>
            </w:r>
            <w:r>
              <w:rPr>
                <w:rFonts w:hint="default" w:ascii="Times New Roman" w:hAnsi="Times New Roman" w:eastAsia="宋体" w:cs="Times New Roman"/>
                <w:w w:val="99"/>
                <w:sz w:val="24"/>
                <w:szCs w:val="24"/>
                <w:highlight w:val="none"/>
                <w:vertAlign w:val="subscript"/>
              </w:rPr>
              <w:t>2</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年平均</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7</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60</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11.7</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NO</w:t>
            </w:r>
            <w:r>
              <w:rPr>
                <w:rFonts w:hint="default" w:ascii="Times New Roman" w:hAnsi="Times New Roman" w:eastAsia="宋体" w:cs="Times New Roman"/>
                <w:w w:val="99"/>
                <w:sz w:val="24"/>
                <w:szCs w:val="24"/>
                <w:highlight w:val="none"/>
                <w:vertAlign w:val="subscript"/>
              </w:rPr>
              <w:t>2</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年平均</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16</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40</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40.0</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kern w:val="2"/>
                <w:sz w:val="24"/>
                <w:szCs w:val="24"/>
                <w:highlight w:val="none"/>
              </w:rPr>
            </w:pPr>
            <w:r>
              <w:rPr>
                <w:rFonts w:hint="default" w:ascii="Times New Roman" w:hAnsi="Times New Roman" w:eastAsia="宋体" w:cs="Times New Roman"/>
                <w:w w:val="99"/>
                <w:sz w:val="24"/>
                <w:szCs w:val="24"/>
                <w:highlight w:val="none"/>
              </w:rPr>
              <w:t>PM</w:t>
            </w:r>
            <w:r>
              <w:rPr>
                <w:rFonts w:hint="default" w:ascii="Times New Roman" w:hAnsi="Times New Roman" w:eastAsia="宋体" w:cs="Times New Roman"/>
                <w:w w:val="99"/>
                <w:sz w:val="24"/>
                <w:szCs w:val="24"/>
                <w:highlight w:val="none"/>
                <w:vertAlign w:val="subscript"/>
              </w:rPr>
              <w:t>10</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kern w:val="2"/>
                <w:sz w:val="24"/>
                <w:szCs w:val="24"/>
                <w:highlight w:val="none"/>
              </w:rPr>
            </w:pPr>
            <w:r>
              <w:rPr>
                <w:rFonts w:hint="default" w:ascii="Times New Roman" w:hAnsi="Times New Roman" w:eastAsia="宋体" w:cs="Times New Roman"/>
                <w:w w:val="99"/>
                <w:sz w:val="24"/>
                <w:szCs w:val="24"/>
                <w:highlight w:val="none"/>
              </w:rPr>
              <w:t>年平均</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38</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70</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54.3</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kern w:val="2"/>
                <w:sz w:val="24"/>
                <w:szCs w:val="24"/>
                <w:highlight w:val="none"/>
              </w:rPr>
            </w:pPr>
            <w:r>
              <w:rPr>
                <w:rFonts w:hint="default" w:ascii="Times New Roman" w:hAnsi="Times New Roman" w:eastAsia="宋体" w:cs="Times New Roman"/>
                <w:w w:val="99"/>
                <w:sz w:val="24"/>
                <w:szCs w:val="24"/>
                <w:highlight w:val="none"/>
              </w:rPr>
              <w:t>PM</w:t>
            </w:r>
            <w:r>
              <w:rPr>
                <w:rFonts w:hint="default" w:ascii="Times New Roman" w:hAnsi="Times New Roman" w:eastAsia="宋体" w:cs="Times New Roman"/>
                <w:w w:val="99"/>
                <w:sz w:val="24"/>
                <w:szCs w:val="24"/>
                <w:highlight w:val="none"/>
                <w:vertAlign w:val="subscript"/>
              </w:rPr>
              <w:t>2.5</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kern w:val="2"/>
                <w:sz w:val="24"/>
                <w:szCs w:val="24"/>
                <w:highlight w:val="none"/>
              </w:rPr>
            </w:pPr>
            <w:r>
              <w:rPr>
                <w:rFonts w:hint="default" w:ascii="Times New Roman" w:hAnsi="Times New Roman" w:eastAsia="宋体" w:cs="Times New Roman"/>
                <w:w w:val="99"/>
                <w:sz w:val="24"/>
                <w:szCs w:val="24"/>
                <w:highlight w:val="none"/>
              </w:rPr>
              <w:t>年平均</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26</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35</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74.3</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CO</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24小时平均第95百分位数</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900</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4000</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22.5</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641"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O</w:t>
            </w:r>
            <w:r>
              <w:rPr>
                <w:rFonts w:hint="default" w:ascii="Times New Roman" w:hAnsi="Times New Roman" w:eastAsia="宋体" w:cs="Times New Roman"/>
                <w:w w:val="99"/>
                <w:sz w:val="24"/>
                <w:szCs w:val="24"/>
                <w:highlight w:val="none"/>
                <w:vertAlign w:val="subscript"/>
              </w:rPr>
              <w:t>3</w:t>
            </w:r>
          </w:p>
        </w:tc>
        <w:tc>
          <w:tcPr>
            <w:tcW w:w="1149"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日最大8小时平均第90百分位数</w:t>
            </w:r>
          </w:p>
        </w:tc>
        <w:tc>
          <w:tcPr>
            <w:tcW w:w="94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110</w:t>
            </w:r>
          </w:p>
        </w:tc>
        <w:tc>
          <w:tcPr>
            <w:tcW w:w="847"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160</w:t>
            </w:r>
          </w:p>
        </w:tc>
        <w:tc>
          <w:tcPr>
            <w:tcW w:w="703"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68.8</w:t>
            </w:r>
          </w:p>
        </w:tc>
        <w:tc>
          <w:tcPr>
            <w:tcW w:w="70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w w:val="99"/>
                <w:sz w:val="24"/>
                <w:szCs w:val="24"/>
                <w:highlight w:val="none"/>
              </w:rPr>
            </w:pPr>
            <w:r>
              <w:rPr>
                <w:rFonts w:hint="default" w:ascii="Times New Roman" w:hAnsi="Times New Roman" w:eastAsia="宋体" w:cs="Times New Roman"/>
                <w:w w:val="99"/>
                <w:sz w:val="24"/>
                <w:szCs w:val="24"/>
                <w:highlight w:val="none"/>
              </w:rPr>
              <w:t>达标</w:t>
            </w:r>
          </w:p>
        </w:tc>
      </w:tr>
    </w:tbl>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根据《202</w:t>
      </w:r>
      <w:r>
        <w:rPr>
          <w:rFonts w:hint="eastAsia" w:ascii="Times New Roman" w:hAnsi="Times New Roman" w:eastAsia="宋体" w:cs="Times New Roman"/>
          <w:color w:val="auto"/>
          <w:szCs w:val="22"/>
          <w:highlight w:val="none"/>
          <w:lang w:val="en-US" w:eastAsia="zh-CN" w:bidi="zh-CN"/>
        </w:rPr>
        <w:t>2</w:t>
      </w:r>
      <w:r>
        <w:rPr>
          <w:rFonts w:hint="eastAsia" w:ascii="Times New Roman" w:hAnsi="Times New Roman" w:eastAsia="宋体" w:cs="Times New Roman"/>
          <w:color w:val="auto"/>
          <w:szCs w:val="22"/>
          <w:highlight w:val="none"/>
          <w:lang w:val="zh-CN" w:eastAsia="zh-CN" w:bidi="zh-CN"/>
        </w:rPr>
        <w:t>年大庆市环境状况公报》结果，六项环境空气污染物基本项目浓度均满足《环境空气质量标准》（GB3095-2012）及修改单中二级限值要求，本项目区域属于环境空气质量达标区域。因此判断项目所在区域为环境空气质量达标区。</w:t>
      </w:r>
    </w:p>
    <w:bookmarkEnd w:id="290"/>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4.3.1.2环境空气质量现状</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本项目其他污染物氨、硫化氢、污染因子环境质量现状委托黑龙江永青环保科技有限公司进行现场监测，监测时间为</w:t>
      </w:r>
      <w:r>
        <w:rPr>
          <w:rFonts w:hint="eastAsia" w:cs="Times New Roman"/>
          <w:color w:val="auto"/>
          <w:szCs w:val="22"/>
          <w:highlight w:val="none"/>
          <w:lang w:val="zh-CN" w:eastAsia="zh-CN" w:bidi="zh-CN"/>
        </w:rPr>
        <w:t>202</w:t>
      </w:r>
      <w:r>
        <w:rPr>
          <w:rFonts w:hint="eastAsia" w:cs="Times New Roman"/>
          <w:color w:val="auto"/>
          <w:szCs w:val="22"/>
          <w:highlight w:val="none"/>
          <w:lang w:val="en-US" w:eastAsia="zh-CN" w:bidi="zh-CN"/>
        </w:rPr>
        <w:t>2</w:t>
      </w:r>
      <w:r>
        <w:rPr>
          <w:rFonts w:hint="eastAsia" w:cs="Times New Roman"/>
          <w:color w:val="auto"/>
          <w:szCs w:val="22"/>
          <w:highlight w:val="none"/>
          <w:lang w:val="zh-CN" w:eastAsia="zh-CN" w:bidi="zh-CN"/>
        </w:rPr>
        <w:t>年</w:t>
      </w:r>
      <w:r>
        <w:rPr>
          <w:rFonts w:hint="eastAsia" w:cs="Times New Roman"/>
          <w:color w:val="auto"/>
          <w:szCs w:val="22"/>
          <w:highlight w:val="none"/>
          <w:lang w:val="en-US" w:eastAsia="zh-CN" w:bidi="zh-CN"/>
        </w:rPr>
        <w:t>1</w:t>
      </w:r>
      <w:r>
        <w:rPr>
          <w:rFonts w:hint="eastAsia" w:ascii="Times New Roman" w:hAnsi="Times New Roman" w:eastAsia="宋体" w:cs="Times New Roman"/>
          <w:color w:val="auto"/>
          <w:szCs w:val="22"/>
          <w:highlight w:val="none"/>
          <w:lang w:val="zh-CN" w:eastAsia="zh-CN" w:bidi="zh-CN"/>
        </w:rPr>
        <w:t>月</w:t>
      </w:r>
      <w:r>
        <w:rPr>
          <w:rFonts w:hint="eastAsia" w:cs="Times New Roman"/>
          <w:color w:val="auto"/>
          <w:szCs w:val="22"/>
          <w:highlight w:val="none"/>
          <w:lang w:val="en-US" w:eastAsia="zh-CN" w:bidi="zh-CN"/>
        </w:rPr>
        <w:t>23</w:t>
      </w:r>
      <w:r>
        <w:rPr>
          <w:rFonts w:hint="eastAsia" w:ascii="Times New Roman" w:hAnsi="Times New Roman" w:eastAsia="宋体" w:cs="Times New Roman"/>
          <w:color w:val="auto"/>
          <w:szCs w:val="22"/>
          <w:highlight w:val="none"/>
          <w:lang w:val="zh-CN" w:eastAsia="zh-CN" w:bidi="zh-CN"/>
        </w:rPr>
        <w:t>日-</w:t>
      </w:r>
      <w:r>
        <w:rPr>
          <w:rFonts w:hint="eastAsia" w:cs="Times New Roman"/>
          <w:color w:val="auto"/>
          <w:szCs w:val="22"/>
          <w:highlight w:val="none"/>
          <w:lang w:val="en-US" w:eastAsia="zh-CN" w:bidi="zh-CN"/>
        </w:rPr>
        <w:t>2</w:t>
      </w:r>
      <w:r>
        <w:rPr>
          <w:rFonts w:hint="eastAsia" w:ascii="Times New Roman" w:hAnsi="Times New Roman" w:eastAsia="宋体" w:cs="Times New Roman"/>
          <w:color w:val="auto"/>
          <w:szCs w:val="22"/>
          <w:highlight w:val="none"/>
          <w:lang w:val="en-US" w:eastAsia="zh-CN" w:bidi="zh-CN"/>
        </w:rPr>
        <w:t>8</w:t>
      </w:r>
      <w:r>
        <w:rPr>
          <w:rFonts w:hint="eastAsia" w:ascii="Times New Roman" w:hAnsi="Times New Roman" w:eastAsia="宋体" w:cs="Times New Roman"/>
          <w:color w:val="auto"/>
          <w:szCs w:val="22"/>
          <w:highlight w:val="none"/>
          <w:lang w:val="zh-CN" w:eastAsia="zh-CN" w:bidi="zh-CN"/>
        </w:rPr>
        <w:t>日。</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w:t>
      </w:r>
      <w:r>
        <w:rPr>
          <w:rFonts w:hint="eastAsia" w:ascii="Times New Roman" w:hAnsi="Times New Roman" w:eastAsia="宋体" w:cs="Times New Roman"/>
          <w:color w:val="auto"/>
          <w:szCs w:val="22"/>
          <w:highlight w:val="none"/>
          <w:lang w:val="en-US" w:eastAsia="zh-CN" w:bidi="zh-CN"/>
        </w:rPr>
        <w:t>1</w:t>
      </w:r>
      <w:r>
        <w:rPr>
          <w:rFonts w:hint="eastAsia" w:ascii="Times New Roman" w:hAnsi="Times New Roman" w:eastAsia="宋体" w:cs="Times New Roman"/>
          <w:color w:val="auto"/>
          <w:szCs w:val="22"/>
          <w:highlight w:val="none"/>
          <w:lang w:val="zh-CN" w:eastAsia="zh-CN" w:bidi="zh-CN"/>
        </w:rPr>
        <w:t>）监测项目</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氨、硫化氢</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（2）监测点位</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共</w:t>
      </w:r>
      <w:r>
        <w:rPr>
          <w:rFonts w:hint="eastAsia" w:ascii="Times New Roman" w:hAnsi="Times New Roman" w:eastAsia="宋体" w:cs="Times New Roman"/>
          <w:color w:val="auto"/>
          <w:szCs w:val="22"/>
          <w:highlight w:val="none"/>
          <w:lang w:val="en-US" w:eastAsia="zh-CN" w:bidi="zh-CN"/>
        </w:rPr>
        <w:t>3</w:t>
      </w:r>
      <w:r>
        <w:rPr>
          <w:rFonts w:hint="eastAsia" w:ascii="Times New Roman" w:hAnsi="Times New Roman" w:eastAsia="宋体" w:cs="Times New Roman"/>
          <w:color w:val="auto"/>
          <w:szCs w:val="22"/>
          <w:highlight w:val="none"/>
          <w:lang w:val="zh-CN" w:eastAsia="zh-CN" w:bidi="zh-CN"/>
        </w:rPr>
        <w:t>个补充监测点位，主导风向上风向、厂址处及主导风向下风向，点位分布见表4</w:t>
      </w:r>
      <w:r>
        <w:rPr>
          <w:rFonts w:hint="eastAsia" w:ascii="Times New Roman" w:hAnsi="Times New Roman" w:eastAsia="宋体" w:cs="Times New Roman"/>
          <w:color w:val="auto"/>
          <w:szCs w:val="22"/>
          <w:highlight w:val="none"/>
          <w:lang w:val="en-US" w:eastAsia="zh-CN" w:bidi="zh-CN"/>
        </w:rPr>
        <w:t>.</w:t>
      </w:r>
      <w:r>
        <w:rPr>
          <w:rFonts w:hint="eastAsia" w:ascii="Times New Roman" w:hAnsi="Times New Roman" w:eastAsia="宋体" w:cs="Times New Roman"/>
          <w:color w:val="auto"/>
          <w:szCs w:val="22"/>
          <w:highlight w:val="none"/>
          <w:lang w:val="zh-CN" w:eastAsia="zh-CN" w:bidi="zh-CN"/>
        </w:rPr>
        <w:t>3</w:t>
      </w:r>
      <w:r>
        <w:rPr>
          <w:rFonts w:hint="eastAsia" w:ascii="Times New Roman" w:hAnsi="Times New Roman" w:cs="Times New Roman"/>
          <w:color w:val="auto"/>
          <w:szCs w:val="22"/>
          <w:highlight w:val="none"/>
          <w:lang w:val="en-US" w:eastAsia="zh-CN" w:bidi="zh-CN"/>
        </w:rPr>
        <w:t>.1.2</w:t>
      </w:r>
      <w:r>
        <w:rPr>
          <w:rFonts w:hint="eastAsia" w:ascii="Times New Roman" w:hAnsi="Times New Roman" w:eastAsia="宋体" w:cs="Times New Roman"/>
          <w:color w:val="auto"/>
          <w:szCs w:val="22"/>
          <w:highlight w:val="none"/>
          <w:lang w:val="zh-CN" w:eastAsia="zh-CN" w:bidi="zh-CN"/>
        </w:rPr>
        <w:t>-</w:t>
      </w:r>
      <w:r>
        <w:rPr>
          <w:rFonts w:hint="eastAsia" w:ascii="Times New Roman" w:hAnsi="Times New Roman" w:cs="Times New Roman"/>
          <w:color w:val="auto"/>
          <w:szCs w:val="22"/>
          <w:highlight w:val="none"/>
          <w:lang w:val="en-US" w:eastAsia="zh-CN" w:bidi="zh-CN"/>
        </w:rPr>
        <w:t>1</w:t>
      </w:r>
      <w:r>
        <w:rPr>
          <w:rFonts w:hint="eastAsia" w:ascii="Times New Roman" w:hAnsi="Times New Roman" w:eastAsia="宋体" w:cs="Times New Roman"/>
          <w:color w:val="auto"/>
          <w:szCs w:val="22"/>
          <w:highlight w:val="none"/>
          <w:lang w:val="zh-CN" w:eastAsia="zh-CN" w:bidi="zh-CN"/>
        </w:rPr>
        <w:t>，见图</w:t>
      </w:r>
      <w:r>
        <w:rPr>
          <w:rFonts w:hint="eastAsia" w:ascii="Times New Roman" w:hAnsi="Times New Roman" w:cs="Times New Roman"/>
          <w:color w:val="auto"/>
          <w:szCs w:val="22"/>
          <w:highlight w:val="none"/>
          <w:lang w:val="en-US" w:eastAsia="zh-CN" w:bidi="zh-CN"/>
        </w:rPr>
        <w:t>4.3.1.2-1</w:t>
      </w:r>
      <w:r>
        <w:rPr>
          <w:rFonts w:hint="eastAsia" w:ascii="Times New Roman" w:hAnsi="Times New Roman" w:eastAsia="宋体" w:cs="Times New Roman"/>
          <w:color w:val="auto"/>
          <w:szCs w:val="22"/>
          <w:highlight w:val="none"/>
          <w:lang w:val="zh-CN" w:eastAsia="zh-CN" w:bidi="zh-CN"/>
        </w:rPr>
        <w:t>。</w:t>
      </w:r>
    </w:p>
    <w:p>
      <w:pPr>
        <w:pStyle w:val="27"/>
        <w:spacing w:line="240" w:lineRule="auto"/>
        <w:ind w:left="0" w:leftChars="0" w:firstLine="0" w:firstLineChars="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757545" cy="3248660"/>
            <wp:effectExtent l="0" t="0" r="14605" b="8890"/>
            <wp:docPr id="28" name="图片 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1"/>
                    <pic:cNvPicPr>
                      <a:picLocks noChangeAspect="1"/>
                    </pic:cNvPicPr>
                  </pic:nvPicPr>
                  <pic:blipFill>
                    <a:blip r:embed="rId40"/>
                    <a:stretch>
                      <a:fillRect/>
                    </a:stretch>
                  </pic:blipFill>
                  <pic:spPr>
                    <a:xfrm>
                      <a:off x="0" y="0"/>
                      <a:ext cx="5757545" cy="32486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val="0"/>
        <w:autoSpaceDN w:val="0"/>
        <w:bidi w:val="0"/>
        <w:adjustRightInd/>
        <w:snapToGrid/>
        <w:spacing w:before="0" w:after="0"/>
        <w:ind w:left="0" w:right="0" w:firstLine="0" w:firstLineChars="0"/>
        <w:jc w:val="center"/>
        <w:textAlignment w:val="auto"/>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图4</w:t>
      </w:r>
      <w:r>
        <w:rPr>
          <w:rFonts w:hint="eastAsia" w:ascii="Times New Roman" w:hAnsi="Times New Roman" w:eastAsia="宋体" w:cs="Times New Roman"/>
          <w:color w:val="auto"/>
          <w:szCs w:val="22"/>
          <w:highlight w:val="none"/>
          <w:lang w:val="en-US" w:eastAsia="zh-CN" w:bidi="zh-CN"/>
        </w:rPr>
        <w:t>.</w:t>
      </w:r>
      <w:r>
        <w:rPr>
          <w:rFonts w:hint="eastAsia" w:ascii="Times New Roman" w:hAnsi="Times New Roman" w:eastAsia="宋体" w:cs="Times New Roman"/>
          <w:color w:val="auto"/>
          <w:szCs w:val="22"/>
          <w:highlight w:val="none"/>
          <w:lang w:val="zh-CN" w:eastAsia="zh-CN" w:bidi="zh-CN"/>
        </w:rPr>
        <w:t>3</w:t>
      </w:r>
      <w:r>
        <w:rPr>
          <w:rFonts w:hint="eastAsia" w:ascii="Times New Roman" w:hAnsi="Times New Roman" w:cs="Times New Roman"/>
          <w:color w:val="auto"/>
          <w:szCs w:val="22"/>
          <w:highlight w:val="none"/>
          <w:lang w:val="en-US" w:eastAsia="zh-CN" w:bidi="zh-CN"/>
        </w:rPr>
        <w:t>.1.2</w:t>
      </w:r>
      <w:r>
        <w:rPr>
          <w:rFonts w:hint="eastAsia" w:ascii="Times New Roman" w:hAnsi="Times New Roman" w:eastAsia="宋体" w:cs="Times New Roman"/>
          <w:color w:val="auto"/>
          <w:szCs w:val="22"/>
          <w:highlight w:val="none"/>
          <w:lang w:val="zh-CN" w:eastAsia="zh-CN" w:bidi="zh-CN"/>
        </w:rPr>
        <w:t>-1  环境现状监测点位图</w:t>
      </w:r>
    </w:p>
    <w:p>
      <w:pPr>
        <w:bidi w:val="0"/>
        <w:rPr>
          <w:color w:val="auto"/>
          <w:highlight w:val="none"/>
        </w:rPr>
      </w:pPr>
      <w:r>
        <w:rPr>
          <w:color w:val="auto"/>
          <w:highlight w:val="none"/>
        </w:rPr>
        <w:t>表4</w:t>
      </w:r>
      <w:r>
        <w:rPr>
          <w:rFonts w:hint="eastAsia"/>
          <w:color w:val="auto"/>
          <w:highlight w:val="none"/>
          <w:lang w:val="en-US" w:eastAsia="zh-CN"/>
        </w:rPr>
        <w:t>.</w:t>
      </w:r>
      <w:r>
        <w:rPr>
          <w:color w:val="auto"/>
          <w:highlight w:val="none"/>
        </w:rPr>
        <w:t>3</w:t>
      </w:r>
      <w:r>
        <w:rPr>
          <w:rFonts w:hint="eastAsia"/>
          <w:color w:val="auto"/>
          <w:highlight w:val="none"/>
          <w:lang w:val="en-US" w:eastAsia="zh-CN"/>
        </w:rPr>
        <w:t>.1.2-1</w:t>
      </w:r>
      <w:r>
        <w:rPr>
          <w:color w:val="auto"/>
          <w:highlight w:val="none"/>
        </w:rPr>
        <w:t xml:space="preserve">    </w:t>
      </w:r>
      <w:r>
        <w:rPr>
          <w:rFonts w:hint="eastAsia"/>
          <w:color w:val="auto"/>
          <w:highlight w:val="none"/>
          <w:lang w:val="en-US" w:eastAsia="zh-CN"/>
        </w:rPr>
        <w:t xml:space="preserve">         </w:t>
      </w:r>
      <w:r>
        <w:rPr>
          <w:color w:val="auto"/>
          <w:highlight w:val="none"/>
        </w:rPr>
        <w:t>其他污染物补充监测点位基本信息</w:t>
      </w:r>
    </w:p>
    <w:tbl>
      <w:tblPr>
        <w:tblStyle w:val="28"/>
        <w:tblW w:w="9072"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613"/>
        <w:gridCol w:w="1621"/>
        <w:gridCol w:w="1296"/>
        <w:gridCol w:w="2264"/>
        <w:gridCol w:w="227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1" w:hRule="atLeast"/>
          <w:jc w:val="center"/>
        </w:trPr>
        <w:tc>
          <w:tcPr>
            <w:tcW w:w="161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监测点名称</w:t>
            </w:r>
          </w:p>
        </w:tc>
        <w:tc>
          <w:tcPr>
            <w:tcW w:w="162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监测因子</w:t>
            </w:r>
          </w:p>
        </w:tc>
        <w:tc>
          <w:tcPr>
            <w:tcW w:w="129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检测时段</w:t>
            </w:r>
          </w:p>
        </w:tc>
        <w:tc>
          <w:tcPr>
            <w:tcW w:w="226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相对厂址方位</w:t>
            </w:r>
          </w:p>
        </w:tc>
        <w:tc>
          <w:tcPr>
            <w:tcW w:w="2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相对厂界距离/m</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10" w:hRule="atLeast"/>
          <w:jc w:val="center"/>
        </w:trPr>
        <w:tc>
          <w:tcPr>
            <w:tcW w:w="161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项目厂址</w:t>
            </w:r>
          </w:p>
        </w:tc>
        <w:tc>
          <w:tcPr>
            <w:tcW w:w="162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氨、硫化氢</w:t>
            </w:r>
          </w:p>
        </w:tc>
        <w:tc>
          <w:tcPr>
            <w:tcW w:w="129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1h均值</w:t>
            </w:r>
          </w:p>
        </w:tc>
        <w:tc>
          <w:tcPr>
            <w:tcW w:w="226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厂址处</w:t>
            </w:r>
          </w:p>
        </w:tc>
        <w:tc>
          <w:tcPr>
            <w:tcW w:w="2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0" w:hRule="atLeast"/>
          <w:jc w:val="center"/>
        </w:trPr>
        <w:tc>
          <w:tcPr>
            <w:tcW w:w="161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永久村</w:t>
            </w:r>
          </w:p>
        </w:tc>
        <w:tc>
          <w:tcPr>
            <w:tcW w:w="162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129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226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主导风向上风向</w:t>
            </w:r>
          </w:p>
        </w:tc>
        <w:tc>
          <w:tcPr>
            <w:tcW w:w="2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NE</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1844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0" w:hRule="atLeast"/>
          <w:jc w:val="center"/>
        </w:trPr>
        <w:tc>
          <w:tcPr>
            <w:tcW w:w="161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后乔家围子</w:t>
            </w:r>
          </w:p>
        </w:tc>
        <w:tc>
          <w:tcPr>
            <w:tcW w:w="162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129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226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主导风向下风向</w:t>
            </w:r>
          </w:p>
        </w:tc>
        <w:tc>
          <w:tcPr>
            <w:tcW w:w="227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SE</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210</w:t>
            </w:r>
          </w:p>
        </w:tc>
      </w:tr>
    </w:tbl>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3）监测频率</w:t>
      </w:r>
    </w:p>
    <w:p>
      <w:pPr>
        <w:bidi w:val="0"/>
        <w:rPr>
          <w:rFonts w:ascii="Times New Roman" w:hAnsi="Times New Roman" w:cs="Times New Roman"/>
          <w:color w:val="auto"/>
          <w:highlight w:val="none"/>
        </w:rPr>
      </w:pPr>
      <w:r>
        <w:rPr>
          <w:rFonts w:ascii="Times New Roman" w:hAnsi="Times New Roman" w:cs="Times New Roman"/>
          <w:color w:val="auto"/>
          <w:highlight w:val="none"/>
        </w:rPr>
        <w:t>监测频率：氨、硫化氢的1小时平均浓度，采样7天，每天采样4次，每天采样时间为02:00、08:00、14:00、20:00，每小时至少有45分钟的采样时间。</w:t>
      </w:r>
    </w:p>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4）监测分析方法</w:t>
      </w:r>
    </w:p>
    <w:p>
      <w:pPr>
        <w:bidi w:val="0"/>
        <w:rPr>
          <w:rFonts w:ascii="Times New Roman" w:hAnsi="Times New Roman" w:cs="Times New Roman"/>
          <w:color w:val="auto"/>
          <w:highlight w:val="none"/>
        </w:rPr>
      </w:pPr>
      <w:r>
        <w:rPr>
          <w:rFonts w:ascii="Times New Roman" w:hAnsi="Times New Roman" w:cs="Times New Roman"/>
          <w:color w:val="auto"/>
          <w:highlight w:val="none"/>
        </w:rPr>
        <w:t>监测分析方法按照《空气和废气监测方法》和《环境监测技术规范》中的有关规定执行。监测分析方法及使用仪器情况详见表</w:t>
      </w:r>
      <w:r>
        <w:rPr>
          <w:color w:val="auto"/>
          <w:highlight w:val="none"/>
        </w:rPr>
        <w:t>4</w:t>
      </w:r>
      <w:r>
        <w:rPr>
          <w:rFonts w:hint="eastAsia"/>
          <w:color w:val="auto"/>
          <w:highlight w:val="none"/>
          <w:lang w:val="en-US" w:eastAsia="zh-CN"/>
        </w:rPr>
        <w:t>.</w:t>
      </w:r>
      <w:r>
        <w:rPr>
          <w:color w:val="auto"/>
          <w:highlight w:val="none"/>
        </w:rPr>
        <w:t>3</w:t>
      </w:r>
      <w:r>
        <w:rPr>
          <w:rFonts w:hint="eastAsia"/>
          <w:color w:val="auto"/>
          <w:highlight w:val="none"/>
          <w:lang w:val="en-US" w:eastAsia="zh-CN"/>
        </w:rPr>
        <w:t>.1.2-2</w:t>
      </w:r>
      <w:r>
        <w:rPr>
          <w:rFonts w:ascii="Times New Roman" w:hAnsi="Times New Roman" w:cs="Times New Roman"/>
          <w:color w:val="auto"/>
          <w:highlight w:val="none"/>
        </w:rPr>
        <w:t>、</w:t>
      </w:r>
      <w:r>
        <w:rPr>
          <w:color w:val="auto"/>
          <w:highlight w:val="none"/>
        </w:rPr>
        <w:t>4</w:t>
      </w:r>
      <w:r>
        <w:rPr>
          <w:rFonts w:hint="eastAsia"/>
          <w:color w:val="auto"/>
          <w:highlight w:val="none"/>
          <w:lang w:val="en-US" w:eastAsia="zh-CN"/>
        </w:rPr>
        <w:t>.</w:t>
      </w:r>
      <w:r>
        <w:rPr>
          <w:color w:val="auto"/>
          <w:highlight w:val="none"/>
        </w:rPr>
        <w:t>3</w:t>
      </w:r>
      <w:r>
        <w:rPr>
          <w:rFonts w:hint="eastAsia"/>
          <w:color w:val="auto"/>
          <w:highlight w:val="none"/>
          <w:lang w:val="en-US" w:eastAsia="zh-CN"/>
        </w:rPr>
        <w:t>.1.2-3</w:t>
      </w:r>
      <w:r>
        <w:rPr>
          <w:rFonts w:ascii="Times New Roman" w:hAnsi="Times New Roman" w:cs="Times New Roman"/>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color w:val="auto"/>
          <w:highlight w:val="none"/>
        </w:rPr>
        <w:t>4</w:t>
      </w:r>
      <w:r>
        <w:rPr>
          <w:rFonts w:hint="eastAsia"/>
          <w:color w:val="auto"/>
          <w:highlight w:val="none"/>
          <w:lang w:val="en-US" w:eastAsia="zh-CN"/>
        </w:rPr>
        <w:t>.</w:t>
      </w:r>
      <w:r>
        <w:rPr>
          <w:color w:val="auto"/>
          <w:highlight w:val="none"/>
        </w:rPr>
        <w:t>3</w:t>
      </w:r>
      <w:r>
        <w:rPr>
          <w:rFonts w:hint="eastAsia"/>
          <w:color w:val="auto"/>
          <w:highlight w:val="none"/>
          <w:lang w:val="en-US" w:eastAsia="zh-CN"/>
        </w:rPr>
        <w:t>.1.2-2</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环境空气监测分析方法一览表</w:t>
      </w:r>
    </w:p>
    <w:p>
      <w:pPr>
        <w:spacing w:line="65" w:lineRule="exact"/>
        <w:rPr>
          <w:rFonts w:ascii="Times New Roman" w:hAnsi="Times New Roman" w:eastAsia="宋体" w:cs="Times New Roman"/>
          <w:color w:val="auto"/>
          <w:spacing w:val="0"/>
          <w:w w:val="99"/>
          <w:position w:val="0"/>
          <w:highlight w:val="none"/>
        </w:rPr>
      </w:pPr>
    </w:p>
    <w:tbl>
      <w:tblPr>
        <w:tblStyle w:val="28"/>
        <w:tblW w:w="9076"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30"/>
        <w:gridCol w:w="908"/>
        <w:gridCol w:w="6363"/>
        <w:gridCol w:w="127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97" w:hRule="atLeast"/>
          <w:jc w:val="center"/>
        </w:trPr>
        <w:tc>
          <w:tcPr>
            <w:tcW w:w="53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序号</w:t>
            </w:r>
          </w:p>
        </w:tc>
        <w:tc>
          <w:tcPr>
            <w:tcW w:w="9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检测项目</w:t>
            </w:r>
          </w:p>
        </w:tc>
        <w:tc>
          <w:tcPr>
            <w:tcW w:w="636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检测依据</w:t>
            </w:r>
          </w:p>
        </w:tc>
        <w:tc>
          <w:tcPr>
            <w:tcW w:w="12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bidi="zh-CN"/>
              </w:rPr>
              <w:t>检出限</w:t>
            </w:r>
            <w:r>
              <w:rPr>
                <w:rFonts w:hint="eastAsia" w:ascii="Times New Roman" w:hAnsi="Times New Roman" w:eastAsia="宋体" w:cs="Times New Roman"/>
                <w:color w:val="auto"/>
                <w:spacing w:val="0"/>
                <w:w w:val="100"/>
                <w:position w:val="0"/>
                <w:sz w:val="21"/>
                <w:szCs w:val="21"/>
                <w:highlight w:val="none"/>
                <w:lang w:val="en-US" w:eastAsia="zh-CN" w:bidi="zh-CN"/>
              </w:rPr>
              <w:t>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53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1</w:t>
            </w:r>
          </w:p>
        </w:tc>
        <w:tc>
          <w:tcPr>
            <w:tcW w:w="9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氨</w:t>
            </w:r>
          </w:p>
        </w:tc>
        <w:tc>
          <w:tcPr>
            <w:tcW w:w="636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环境空气和废气氨的测定纳氏试剂分光光度法HJ533-2009</w:t>
            </w:r>
          </w:p>
        </w:tc>
        <w:tc>
          <w:tcPr>
            <w:tcW w:w="12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0.01mg/m</w:t>
            </w:r>
            <w:r>
              <w:rPr>
                <w:rFonts w:hint="eastAsia" w:ascii="Times New Roman" w:hAnsi="Times New Roman" w:eastAsia="宋体" w:cs="Times New Roman"/>
                <w:color w:val="auto"/>
                <w:spacing w:val="0"/>
                <w:w w:val="100"/>
                <w:position w:val="0"/>
                <w:sz w:val="21"/>
                <w:szCs w:val="21"/>
                <w:highlight w:val="none"/>
                <w:vertAlign w:val="superscript"/>
                <w:lang w:val="zh-CN" w:bidi="zh-CN"/>
              </w:rPr>
              <w:t>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53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2</w:t>
            </w:r>
          </w:p>
        </w:tc>
        <w:tc>
          <w:tcPr>
            <w:tcW w:w="9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硫化氢</w:t>
            </w:r>
          </w:p>
        </w:tc>
        <w:tc>
          <w:tcPr>
            <w:tcW w:w="636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亚甲基蓝分光光度法《空气和废气监测分析方法》</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第四版</w:t>
            </w:r>
            <w:r>
              <w:rPr>
                <w:rFonts w:hint="eastAsia" w:ascii="Times New Roman" w:hAnsi="Times New Roman" w:eastAsia="宋体" w:cs="Times New Roman"/>
                <w:color w:val="auto"/>
                <w:spacing w:val="0"/>
                <w:w w:val="100"/>
                <w:position w:val="0"/>
                <w:sz w:val="21"/>
                <w:szCs w:val="21"/>
                <w:highlight w:val="none"/>
                <w:lang w:val="en-US" w:eastAsia="zh-CN" w:bidi="zh-CN"/>
              </w:rPr>
              <w:t xml:space="preserve"> </w:t>
            </w:r>
            <w:r>
              <w:rPr>
                <w:rFonts w:hint="eastAsia" w:ascii="Times New Roman" w:hAnsi="Times New Roman" w:eastAsia="宋体" w:cs="Times New Roman"/>
                <w:color w:val="auto"/>
                <w:spacing w:val="0"/>
                <w:w w:val="100"/>
                <w:position w:val="0"/>
                <w:sz w:val="21"/>
                <w:szCs w:val="21"/>
                <w:highlight w:val="none"/>
                <w:lang w:val="zh-CN" w:bidi="zh-CN"/>
              </w:rPr>
              <w:t>增补版</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国家环境保护总局</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2003年</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P476</w:t>
            </w:r>
          </w:p>
        </w:tc>
        <w:tc>
          <w:tcPr>
            <w:tcW w:w="127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0.001mg/m</w:t>
            </w:r>
            <w:r>
              <w:rPr>
                <w:rFonts w:hint="eastAsia" w:ascii="Times New Roman" w:hAnsi="Times New Roman" w:eastAsia="宋体" w:cs="Times New Roman"/>
                <w:color w:val="auto"/>
                <w:spacing w:val="0"/>
                <w:w w:val="100"/>
                <w:position w:val="0"/>
                <w:sz w:val="21"/>
                <w:szCs w:val="21"/>
                <w:highlight w:val="none"/>
                <w:vertAlign w:val="superscript"/>
                <w:lang w:val="zh-CN" w:bidi="zh-CN"/>
              </w:rPr>
              <w:t>3</w:t>
            </w: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color w:val="auto"/>
          <w:highlight w:val="none"/>
        </w:rPr>
        <w:t>4</w:t>
      </w:r>
      <w:r>
        <w:rPr>
          <w:rFonts w:hint="eastAsia"/>
          <w:color w:val="auto"/>
          <w:highlight w:val="none"/>
          <w:lang w:val="en-US" w:eastAsia="zh-CN"/>
        </w:rPr>
        <w:t>.</w:t>
      </w:r>
      <w:r>
        <w:rPr>
          <w:color w:val="auto"/>
          <w:highlight w:val="none"/>
        </w:rPr>
        <w:t>3</w:t>
      </w:r>
      <w:r>
        <w:rPr>
          <w:rFonts w:hint="eastAsia"/>
          <w:color w:val="auto"/>
          <w:highlight w:val="none"/>
          <w:lang w:val="en-US" w:eastAsia="zh-CN"/>
        </w:rPr>
        <w:t>.1.2-3</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环境空气监测使用仪器一览表</w:t>
      </w:r>
    </w:p>
    <w:p>
      <w:pPr>
        <w:spacing w:line="63" w:lineRule="exact"/>
        <w:rPr>
          <w:rFonts w:ascii="Times New Roman" w:hAnsi="Times New Roman" w:eastAsia="宋体" w:cs="Times New Roman"/>
          <w:color w:val="auto"/>
          <w:spacing w:val="0"/>
          <w:w w:val="99"/>
          <w:position w:val="0"/>
          <w:highlight w:val="none"/>
        </w:rPr>
      </w:pPr>
    </w:p>
    <w:tbl>
      <w:tblPr>
        <w:tblStyle w:val="28"/>
        <w:tblW w:w="9072"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Layout w:type="fixed"/>
        <w:tblCellMar>
          <w:top w:w="0" w:type="dxa"/>
          <w:left w:w="0" w:type="dxa"/>
          <w:bottom w:w="0" w:type="dxa"/>
          <w:right w:w="0" w:type="dxa"/>
        </w:tblCellMar>
      </w:tblPr>
      <w:tblGrid>
        <w:gridCol w:w="724"/>
        <w:gridCol w:w="1496"/>
        <w:gridCol w:w="4602"/>
        <w:gridCol w:w="225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46" w:hRule="atLeast"/>
          <w:jc w:val="center"/>
        </w:trPr>
        <w:tc>
          <w:tcPr>
            <w:tcW w:w="72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序号</w:t>
            </w:r>
          </w:p>
        </w:tc>
        <w:tc>
          <w:tcPr>
            <w:tcW w:w="149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检测项目</w:t>
            </w:r>
          </w:p>
        </w:tc>
        <w:tc>
          <w:tcPr>
            <w:tcW w:w="46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仪器名称</w:t>
            </w:r>
          </w:p>
        </w:tc>
        <w:tc>
          <w:tcPr>
            <w:tcW w:w="22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编号</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41" w:hRule="atLeast"/>
          <w:jc w:val="center"/>
        </w:trPr>
        <w:tc>
          <w:tcPr>
            <w:tcW w:w="724"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1</w:t>
            </w:r>
          </w:p>
        </w:tc>
        <w:tc>
          <w:tcPr>
            <w:tcW w:w="149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氨</w:t>
            </w:r>
          </w:p>
        </w:tc>
        <w:tc>
          <w:tcPr>
            <w:tcW w:w="46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环境空气颗粒物综合采样器</w:t>
            </w:r>
          </w:p>
        </w:tc>
        <w:tc>
          <w:tcPr>
            <w:tcW w:w="22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JYJC-102/103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41" w:hRule="atLeast"/>
          <w:jc w:val="center"/>
        </w:trPr>
        <w:tc>
          <w:tcPr>
            <w:tcW w:w="72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149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46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紫外可见分光光度计</w:t>
            </w:r>
          </w:p>
        </w:tc>
        <w:tc>
          <w:tcPr>
            <w:tcW w:w="22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JYJC-113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90" w:hRule="atLeast"/>
          <w:jc w:val="center"/>
        </w:trPr>
        <w:tc>
          <w:tcPr>
            <w:tcW w:w="724"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2</w:t>
            </w:r>
          </w:p>
        </w:tc>
        <w:tc>
          <w:tcPr>
            <w:tcW w:w="149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硫化氢</w:t>
            </w:r>
          </w:p>
        </w:tc>
        <w:tc>
          <w:tcPr>
            <w:tcW w:w="46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环境空气颗粒物综合采样器</w:t>
            </w:r>
          </w:p>
        </w:tc>
        <w:tc>
          <w:tcPr>
            <w:tcW w:w="22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JYJC-102/103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442" w:hRule="atLeast"/>
          <w:jc w:val="center"/>
        </w:trPr>
        <w:tc>
          <w:tcPr>
            <w:tcW w:w="724"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149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460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紫外可见分光光度计</w:t>
            </w:r>
          </w:p>
        </w:tc>
        <w:tc>
          <w:tcPr>
            <w:tcW w:w="22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JYJC-113</w:t>
            </w:r>
          </w:p>
        </w:tc>
      </w:tr>
    </w:tbl>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5）评价方法</w:t>
      </w:r>
    </w:p>
    <w:p>
      <w:pPr>
        <w:bidi w:val="0"/>
        <w:rPr>
          <w:rFonts w:ascii="Times New Roman" w:hAnsi="Times New Roman" w:cs="Times New Roman"/>
          <w:color w:val="auto"/>
          <w:highlight w:val="none"/>
        </w:rPr>
      </w:pPr>
      <w:r>
        <w:rPr>
          <w:rFonts w:ascii="Times New Roman" w:hAnsi="Times New Roman" w:cs="Times New Roman"/>
          <w:color w:val="auto"/>
          <w:highlight w:val="none"/>
        </w:rPr>
        <w:t>本项目采用占标百分比对环境空气现状进行评价。计算公式：</w:t>
      </w:r>
    </w:p>
    <w:p>
      <w:pPr>
        <w:bidi w:val="0"/>
        <w:spacing w:line="240" w:lineRule="auto"/>
        <w:rPr>
          <w:color w:val="auto"/>
          <w:highlight w:val="none"/>
        </w:rPr>
      </w:pPr>
      <w:r>
        <w:rPr>
          <w:color w:val="auto"/>
          <w:highlight w:val="none"/>
        </w:rPr>
        <w:drawing>
          <wp:inline distT="0" distB="0" distL="114300" distR="114300">
            <wp:extent cx="1311275" cy="512445"/>
            <wp:effectExtent l="0" t="0" r="3175" b="1905"/>
            <wp:docPr id="29" name="图片 2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1"/>
                    <pic:cNvPicPr>
                      <a:picLocks noChangeAspect="1"/>
                    </pic:cNvPicPr>
                  </pic:nvPicPr>
                  <pic:blipFill>
                    <a:blip r:embed="rId41"/>
                    <a:stretch>
                      <a:fillRect/>
                    </a:stretch>
                  </pic:blipFill>
                  <pic:spPr>
                    <a:xfrm>
                      <a:off x="0" y="0"/>
                      <a:ext cx="1311275" cy="512445"/>
                    </a:xfrm>
                    <a:prstGeom prst="rect">
                      <a:avLst/>
                    </a:prstGeom>
                    <a:noFill/>
                    <a:ln>
                      <a:noFill/>
                    </a:ln>
                  </pic:spPr>
                </pic:pic>
              </a:graphicData>
            </a:graphic>
          </wp:inline>
        </w:drawing>
      </w:r>
    </w:p>
    <w:p>
      <w:pPr>
        <w:bidi w:val="0"/>
        <w:rPr>
          <w:color w:val="auto"/>
          <w:sz w:val="24"/>
          <w:highlight w:val="none"/>
        </w:rPr>
      </w:pPr>
      <w:r>
        <w:rPr>
          <w:color w:val="auto"/>
          <w:sz w:val="24"/>
          <w:highlight w:val="none"/>
        </w:rPr>
        <w:t>式中：S</w:t>
      </w:r>
      <w:r>
        <w:rPr>
          <w:color w:val="auto"/>
          <w:sz w:val="24"/>
          <w:highlight w:val="none"/>
          <w:vertAlign w:val="subscript"/>
        </w:rPr>
        <w:t>ij</w:t>
      </w:r>
      <w:r>
        <w:rPr>
          <w:color w:val="auto"/>
          <w:sz w:val="24"/>
          <w:highlight w:val="none"/>
        </w:rPr>
        <w:t>——代表单项大气参数i在第j点的占标百分比；</w:t>
      </w:r>
    </w:p>
    <w:p>
      <w:pPr>
        <w:bidi w:val="0"/>
        <w:rPr>
          <w:color w:val="auto"/>
          <w:sz w:val="24"/>
          <w:highlight w:val="none"/>
        </w:rPr>
      </w:pPr>
      <w:r>
        <w:rPr>
          <w:color w:val="auto"/>
          <w:sz w:val="24"/>
          <w:highlight w:val="none"/>
        </w:rPr>
        <w:t>C</w:t>
      </w:r>
      <w:r>
        <w:rPr>
          <w:color w:val="auto"/>
          <w:sz w:val="24"/>
          <w:highlight w:val="none"/>
          <w:vertAlign w:val="subscript"/>
        </w:rPr>
        <w:t>ij</w:t>
      </w:r>
      <w:r>
        <w:rPr>
          <w:color w:val="auto"/>
          <w:sz w:val="24"/>
          <w:highlight w:val="none"/>
        </w:rPr>
        <w:t>——代表第i中大气污染物监测结果，mg/Nm</w:t>
      </w:r>
      <w:r>
        <w:rPr>
          <w:color w:val="auto"/>
          <w:sz w:val="24"/>
          <w:highlight w:val="none"/>
          <w:vertAlign w:val="superscript"/>
        </w:rPr>
        <w:t>3</w:t>
      </w:r>
      <w:r>
        <w:rPr>
          <w:color w:val="auto"/>
          <w:sz w:val="24"/>
          <w:highlight w:val="none"/>
        </w:rPr>
        <w:t>；</w:t>
      </w:r>
    </w:p>
    <w:p>
      <w:pPr>
        <w:bidi w:val="0"/>
        <w:rPr>
          <w:color w:val="auto"/>
          <w:sz w:val="24"/>
          <w:highlight w:val="none"/>
        </w:rPr>
      </w:pPr>
      <w:r>
        <w:rPr>
          <w:color w:val="auto"/>
          <w:sz w:val="24"/>
          <w:highlight w:val="none"/>
        </w:rPr>
        <w:t>C</w:t>
      </w:r>
      <w:r>
        <w:rPr>
          <w:color w:val="auto"/>
          <w:sz w:val="24"/>
          <w:highlight w:val="none"/>
          <w:vertAlign w:val="subscript"/>
        </w:rPr>
        <w:t>o</w:t>
      </w:r>
      <w:r>
        <w:rPr>
          <w:color w:val="auto"/>
          <w:sz w:val="24"/>
          <w:highlight w:val="none"/>
        </w:rPr>
        <w:t>——代表第i中大气污染物评价标准，mg/m</w:t>
      </w:r>
      <w:r>
        <w:rPr>
          <w:color w:val="auto"/>
          <w:sz w:val="24"/>
          <w:highlight w:val="none"/>
          <w:vertAlign w:val="superscript"/>
        </w:rPr>
        <w:t>3</w:t>
      </w:r>
      <w:r>
        <w:rPr>
          <w:color w:val="auto"/>
          <w:sz w:val="24"/>
          <w:highlight w:val="none"/>
        </w:rPr>
        <w:t>。</w:t>
      </w:r>
    </w:p>
    <w:p>
      <w:pPr>
        <w:bidi w:val="0"/>
        <w:rPr>
          <w:color w:val="auto"/>
          <w:sz w:val="24"/>
          <w:highlight w:val="none"/>
        </w:rPr>
      </w:pPr>
      <w:r>
        <w:rPr>
          <w:color w:val="auto"/>
          <w:sz w:val="24"/>
          <w:highlight w:val="none"/>
        </w:rPr>
        <w:t>当评价因子的占标百分比S</w:t>
      </w:r>
      <w:r>
        <w:rPr>
          <w:color w:val="auto"/>
          <w:sz w:val="24"/>
          <w:highlight w:val="none"/>
          <w:vertAlign w:val="subscript"/>
        </w:rPr>
        <w:t>ij</w:t>
      </w:r>
      <w:r>
        <w:rPr>
          <w:color w:val="auto"/>
          <w:sz w:val="24"/>
          <w:highlight w:val="none"/>
        </w:rPr>
        <w:t>＞100%时，表明该参数超过了规定的环境空气标准，已不能满足使用要求；当S</w:t>
      </w:r>
      <w:r>
        <w:rPr>
          <w:color w:val="auto"/>
          <w:sz w:val="24"/>
          <w:highlight w:val="none"/>
          <w:vertAlign w:val="subscript"/>
        </w:rPr>
        <w:t>ij</w:t>
      </w:r>
      <w:r>
        <w:rPr>
          <w:color w:val="auto"/>
          <w:sz w:val="24"/>
          <w:highlight w:val="none"/>
        </w:rPr>
        <w:t>≤100%时，表明该参数未超过规定的环境空气标准。</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4.3.1.3监测结果</w:t>
      </w:r>
    </w:p>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空气质量现状监测结果见表4</w:t>
      </w:r>
      <w:r>
        <w:rPr>
          <w:rFonts w:hint="eastAsia" w:ascii="Times New Roman" w:hAnsi="Times New Roman" w:cs="Times New Roman"/>
          <w:color w:val="auto"/>
          <w:sz w:val="24"/>
          <w:highlight w:val="none"/>
          <w:lang w:val="en-US" w:eastAsia="zh-CN"/>
        </w:rPr>
        <w:t>.</w:t>
      </w:r>
      <w:r>
        <w:rPr>
          <w:rFonts w:ascii="Times New Roman" w:hAnsi="Times New Roman" w:cs="Times New Roman"/>
          <w:color w:val="auto"/>
          <w:sz w:val="24"/>
          <w:highlight w:val="none"/>
        </w:rPr>
        <w:t>3</w:t>
      </w:r>
      <w:r>
        <w:rPr>
          <w:rFonts w:hint="eastAsia" w:ascii="Times New Roman" w:hAnsi="Times New Roman" w:cs="Times New Roman"/>
          <w:color w:val="auto"/>
          <w:sz w:val="24"/>
          <w:highlight w:val="none"/>
          <w:lang w:val="en-US" w:eastAsia="zh-CN"/>
        </w:rPr>
        <w:t>.1.3</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1</w:t>
      </w:r>
      <w:r>
        <w:rPr>
          <w:rFonts w:ascii="Times New Roman" w:hAnsi="Times New Roman" w:cs="Times New Roman"/>
          <w:color w:val="auto"/>
          <w:sz w:val="24"/>
          <w:highlight w:val="none"/>
        </w:rPr>
        <w:t>。</w:t>
      </w:r>
    </w:p>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表</w:t>
      </w:r>
      <w:r>
        <w:rPr>
          <w:rFonts w:hint="eastAsia" w:ascii="Times New Roman" w:hAnsi="Times New Roman" w:cs="Times New Roman"/>
          <w:color w:val="auto"/>
          <w:sz w:val="24"/>
          <w:highlight w:val="none"/>
          <w:lang w:val="en-US" w:eastAsia="zh-CN"/>
        </w:rPr>
        <w:t>4.3.1.3-1</w:t>
      </w:r>
      <w:r>
        <w:rPr>
          <w:rFonts w:ascii="Times New Roman" w:hAnsi="Times New Roman" w:cs="Times New Roman"/>
          <w:color w:val="auto"/>
          <w:sz w:val="24"/>
          <w:highlight w:val="none"/>
        </w:rPr>
        <w:t xml:space="preserve">    </w:t>
      </w:r>
      <w:r>
        <w:rPr>
          <w:rFonts w:hint="eastAsia" w:ascii="Times New Roman" w:hAnsi="Times New Roman" w:cs="Times New Roman"/>
          <w:color w:val="auto"/>
          <w:sz w:val="24"/>
          <w:highlight w:val="none"/>
          <w:lang w:val="en-US" w:eastAsia="zh-CN"/>
        </w:rPr>
        <w:t xml:space="preserve">       </w:t>
      </w:r>
      <w:r>
        <w:rPr>
          <w:rFonts w:ascii="Times New Roman" w:hAnsi="Times New Roman" w:cs="Times New Roman"/>
          <w:color w:val="auto"/>
          <w:sz w:val="24"/>
          <w:highlight w:val="none"/>
        </w:rPr>
        <w:t xml:space="preserve">环境空气质量现状监测结果  </w:t>
      </w:r>
      <w:r>
        <w:rPr>
          <w:rFonts w:hint="eastAsia" w:ascii="Times New Roman" w:hAnsi="Times New Roman" w:cs="Times New Roman"/>
          <w:color w:val="auto"/>
          <w:sz w:val="24"/>
          <w:highlight w:val="none"/>
          <w:lang w:val="en-US" w:eastAsia="zh-CN"/>
        </w:rPr>
        <w:t xml:space="preserve">     </w:t>
      </w:r>
      <w:r>
        <w:rPr>
          <w:rFonts w:ascii="Times New Roman" w:hAnsi="Times New Roman" w:cs="Times New Roman"/>
          <w:color w:val="auto"/>
          <w:sz w:val="24"/>
          <w:highlight w:val="none"/>
        </w:rPr>
        <w:t>单位：mg/m</w:t>
      </w:r>
      <w:r>
        <w:rPr>
          <w:rFonts w:ascii="Times New Roman" w:hAnsi="Times New Roman" w:cs="Times New Roman"/>
          <w:color w:val="auto"/>
          <w:sz w:val="24"/>
          <w:highlight w:val="none"/>
          <w:vertAlign w:val="superscript"/>
        </w:rPr>
        <w:t>3</w:t>
      </w:r>
    </w:p>
    <w:p>
      <w:pPr>
        <w:spacing w:line="31" w:lineRule="exact"/>
        <w:rPr>
          <w:rFonts w:ascii="Times New Roman" w:hAnsi="Times New Roman" w:eastAsia="宋体" w:cs="Times New Roman"/>
          <w:color w:val="auto"/>
          <w:spacing w:val="0"/>
          <w:w w:val="99"/>
          <w:position w:val="0"/>
          <w:highlight w:val="none"/>
        </w:rPr>
      </w:pPr>
    </w:p>
    <w:tbl>
      <w:tblPr>
        <w:tblStyle w:val="23"/>
        <w:tblW w:w="91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6"/>
        <w:gridCol w:w="1786"/>
        <w:gridCol w:w="2377"/>
        <w:gridCol w:w="1480"/>
        <w:gridCol w:w="13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4"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监测时间</w:t>
            </w:r>
          </w:p>
        </w:tc>
        <w:tc>
          <w:tcPr>
            <w:tcW w:w="178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监测点位</w:t>
            </w:r>
          </w:p>
        </w:tc>
        <w:tc>
          <w:tcPr>
            <w:tcW w:w="2377"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监测时间</w:t>
            </w:r>
          </w:p>
        </w:tc>
        <w:tc>
          <w:tcPr>
            <w:tcW w:w="148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NH</w:t>
            </w:r>
            <w:r>
              <w:rPr>
                <w:rFonts w:hint="default" w:ascii="Times New Roman" w:hAnsi="Times New Roman" w:eastAsia="宋体" w:cs="Times New Roman"/>
                <w:color w:val="auto"/>
                <w:spacing w:val="0"/>
                <w:w w:val="100"/>
                <w:position w:val="0"/>
                <w:sz w:val="21"/>
                <w:szCs w:val="21"/>
                <w:highlight w:val="none"/>
                <w:vertAlign w:val="superscript"/>
                <w:lang w:val="zh-CN" w:bidi="zh-CN"/>
              </w:rPr>
              <w:t>3</w:t>
            </w:r>
          </w:p>
        </w:tc>
        <w:tc>
          <w:tcPr>
            <w:tcW w:w="1388"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H</w:t>
            </w:r>
            <w:r>
              <w:rPr>
                <w:rFonts w:hint="default" w:ascii="Times New Roman" w:hAnsi="Times New Roman" w:eastAsia="宋体" w:cs="Times New Roman"/>
                <w:color w:val="auto"/>
                <w:spacing w:val="0"/>
                <w:w w:val="100"/>
                <w:position w:val="0"/>
                <w:sz w:val="21"/>
                <w:szCs w:val="21"/>
                <w:highlight w:val="none"/>
                <w:vertAlign w:val="subscript"/>
                <w:lang w:val="zh-CN" w:bidi="zh-CN"/>
              </w:rPr>
              <w:t>2</w:t>
            </w:r>
            <w:r>
              <w:rPr>
                <w:rFonts w:hint="default" w:ascii="Times New Roman" w:hAnsi="Times New Roman" w:eastAsia="宋体" w:cs="Times New Roman"/>
                <w:color w:val="auto"/>
                <w:spacing w:val="0"/>
                <w:w w:val="100"/>
                <w:position w:val="0"/>
                <w:sz w:val="21"/>
                <w:szCs w:val="21"/>
                <w:highlight w:val="none"/>
                <w:lang w:val="zh-CN" w:bidi="zh-CN"/>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4"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48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388"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4"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23</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永久村</w:t>
            </w: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24</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25</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26</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27</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28</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1"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29</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23</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后乔家围子</w:t>
            </w: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02:00～02:45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24</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02:00～02:45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25</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02:00～02:45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26</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27</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28</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214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eastAsia" w:cs="Times New Roman"/>
                <w:color w:val="auto"/>
                <w:spacing w:val="0"/>
                <w:w w:val="100"/>
                <w:position w:val="0"/>
                <w:sz w:val="21"/>
                <w:szCs w:val="21"/>
                <w:highlight w:val="none"/>
                <w:lang w:val="en-US" w:eastAsia="zh-CN" w:bidi="zh-CN"/>
              </w:rPr>
              <w:t>1</w:t>
            </w:r>
            <w:r>
              <w:rPr>
                <w:rFonts w:hint="default" w:ascii="Times New Roman" w:hAnsi="Times New Roman" w:eastAsia="宋体" w:cs="Times New Roman"/>
                <w:color w:val="auto"/>
                <w:spacing w:val="0"/>
                <w:w w:val="100"/>
                <w:position w:val="0"/>
                <w:sz w:val="21"/>
                <w:szCs w:val="21"/>
                <w:highlight w:val="none"/>
                <w:lang w:val="zh-CN" w:bidi="zh-CN"/>
              </w:rPr>
              <w:t>月</w:t>
            </w:r>
            <w:r>
              <w:rPr>
                <w:rFonts w:hint="eastAsia" w:cs="Times New Roman"/>
                <w:color w:val="auto"/>
                <w:spacing w:val="0"/>
                <w:w w:val="100"/>
                <w:position w:val="0"/>
                <w:sz w:val="21"/>
                <w:szCs w:val="21"/>
                <w:highlight w:val="none"/>
                <w:lang w:val="en-US" w:eastAsia="zh-CN" w:bidi="zh-CN"/>
              </w:rPr>
              <w:t>29</w:t>
            </w:r>
            <w:r>
              <w:rPr>
                <w:rFonts w:hint="default" w:ascii="Times New Roman" w:hAnsi="Times New Roman" w:eastAsia="宋体" w:cs="Times New Roman"/>
                <w:color w:val="auto"/>
                <w:spacing w:val="0"/>
                <w:w w:val="100"/>
                <w:position w:val="0"/>
                <w:sz w:val="21"/>
                <w:szCs w:val="21"/>
                <w:highlight w:val="none"/>
                <w:lang w:val="zh-CN" w:bidi="zh-CN"/>
              </w:rPr>
              <w:t>日</w:t>
            </w: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2:45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8:00～</w:t>
            </w:r>
            <w:r>
              <w:rPr>
                <w:rFonts w:hint="eastAsia" w:ascii="Times New Roman" w:hAnsi="Times New Roman" w:eastAsia="宋体" w:cs="Times New Roman"/>
                <w:color w:val="auto"/>
                <w:spacing w:val="0"/>
                <w:w w:val="100"/>
                <w:position w:val="0"/>
                <w:sz w:val="21"/>
                <w:szCs w:val="21"/>
                <w:highlight w:val="none"/>
                <w:lang w:val="en-US" w:eastAsia="zh-CN" w:bidi="zh-CN"/>
              </w:rPr>
              <w:t>0</w:t>
            </w:r>
            <w:r>
              <w:rPr>
                <w:rFonts w:hint="default" w:ascii="Times New Roman" w:hAnsi="Times New Roman" w:eastAsia="宋体" w:cs="Times New Roman"/>
                <w:color w:val="auto"/>
                <w:spacing w:val="0"/>
                <w:w w:val="100"/>
                <w:position w:val="0"/>
                <w:sz w:val="21"/>
                <w:szCs w:val="21"/>
                <w:highlight w:val="none"/>
                <w:lang w:val="zh-CN" w:bidi="zh-CN"/>
              </w:rPr>
              <w:t>8:45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9"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14:00～14:45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214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17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37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20:00～20:45</w:t>
            </w:r>
          </w:p>
        </w:tc>
        <w:tc>
          <w:tcPr>
            <w:tcW w:w="148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0.01L</w:t>
            </w:r>
          </w:p>
        </w:tc>
        <w:tc>
          <w:tcPr>
            <w:tcW w:w="138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0.001L</w:t>
            </w:r>
          </w:p>
        </w:tc>
      </w:tr>
    </w:tbl>
    <w:p>
      <w:pPr>
        <w:bidi w:val="0"/>
        <w:rPr>
          <w:rFonts w:hint="eastAsia"/>
          <w:color w:val="auto"/>
          <w:highlight w:val="none"/>
          <w:lang w:eastAsia="zh-CN"/>
        </w:rPr>
      </w:pPr>
      <w:r>
        <w:rPr>
          <w:color w:val="auto"/>
          <w:highlight w:val="none"/>
        </w:rPr>
        <w:t>由表</w:t>
      </w:r>
      <w:r>
        <w:rPr>
          <w:rFonts w:hint="eastAsia" w:ascii="Times New Roman" w:hAnsi="Times New Roman" w:cs="Times New Roman"/>
          <w:color w:val="auto"/>
          <w:sz w:val="24"/>
          <w:highlight w:val="none"/>
          <w:lang w:val="en-US" w:eastAsia="zh-CN"/>
        </w:rPr>
        <w:t>4.3.1.3-1</w:t>
      </w:r>
      <w:r>
        <w:rPr>
          <w:color w:val="auto"/>
          <w:highlight w:val="none"/>
        </w:rPr>
        <w:t>可知，本项目所在区域在监测时段内氨、硫化氢的1小时浓度满足《环境影响评价技术导则 大气环境》</w:t>
      </w:r>
      <w:r>
        <w:rPr>
          <w:rFonts w:hint="eastAsia"/>
          <w:color w:val="auto"/>
          <w:highlight w:val="none"/>
          <w:lang w:eastAsia="zh-CN"/>
        </w:rPr>
        <w:t>（</w:t>
      </w:r>
      <w:r>
        <w:rPr>
          <w:color w:val="auto"/>
          <w:highlight w:val="none"/>
        </w:rPr>
        <w:t>HJ2.2-2018）中的附录D浓度参考限值要求，TSP的24小时平均浓度满足《环境空气质量标准》</w:t>
      </w:r>
      <w:r>
        <w:rPr>
          <w:rFonts w:hint="eastAsia"/>
          <w:color w:val="auto"/>
          <w:highlight w:val="none"/>
          <w:lang w:eastAsia="zh-CN"/>
        </w:rPr>
        <w:t>（</w:t>
      </w:r>
      <w:r>
        <w:rPr>
          <w:color w:val="auto"/>
          <w:highlight w:val="none"/>
        </w:rPr>
        <w:t>GB3095-2012）及其修改单二级标准，其他污染物氨、硫化氢、TSP的环境质量现状达标。</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4.3.1.4现状评价结论</w:t>
      </w:r>
    </w:p>
    <w:p>
      <w:pPr>
        <w:bidi w:val="0"/>
        <w:rPr>
          <w:color w:val="auto"/>
          <w:highlight w:val="none"/>
        </w:rPr>
      </w:pPr>
      <w:r>
        <w:rPr>
          <w:color w:val="auto"/>
          <w:highlight w:val="none"/>
        </w:rPr>
        <w:t>1、根据《202</w:t>
      </w:r>
      <w:r>
        <w:rPr>
          <w:rFonts w:hint="eastAsia"/>
          <w:color w:val="auto"/>
          <w:highlight w:val="none"/>
          <w:lang w:val="en-US" w:eastAsia="zh-CN"/>
        </w:rPr>
        <w:t>2</w:t>
      </w:r>
      <w:r>
        <w:rPr>
          <w:color w:val="auto"/>
          <w:highlight w:val="none"/>
        </w:rPr>
        <w:t xml:space="preserve"> 年大庆市生态环境状况公报》，评价区域内基本污染物指标均满足《环境空气质量标准》</w:t>
      </w:r>
      <w:r>
        <w:rPr>
          <w:rFonts w:hint="eastAsia"/>
          <w:color w:val="auto"/>
          <w:highlight w:val="none"/>
          <w:lang w:eastAsia="zh-CN"/>
        </w:rPr>
        <w:t>（</w:t>
      </w:r>
      <w:r>
        <w:rPr>
          <w:color w:val="auto"/>
          <w:highlight w:val="none"/>
        </w:rPr>
        <w:t>GB3095-2012）及其修改单二级标准，因此本项目所在区域为环境空气质量达标区。</w:t>
      </w:r>
    </w:p>
    <w:p>
      <w:pPr>
        <w:bidi w:val="0"/>
        <w:rPr>
          <w:color w:val="auto"/>
          <w:highlight w:val="none"/>
        </w:rPr>
      </w:pPr>
      <w:r>
        <w:rPr>
          <w:color w:val="auto"/>
          <w:highlight w:val="none"/>
        </w:rPr>
        <w:t>2、根据补充监测单项污染指数评价结果表明，特征污染物</w:t>
      </w:r>
      <w:r>
        <w:rPr>
          <w:rFonts w:hint="eastAsia"/>
          <w:color w:val="auto"/>
          <w:highlight w:val="none"/>
        </w:rPr>
        <w:t>氨和硫化氢</w:t>
      </w:r>
      <w:r>
        <w:rPr>
          <w:color w:val="auto"/>
          <w:highlight w:val="none"/>
        </w:rPr>
        <w:t>满足</w:t>
      </w:r>
      <w:r>
        <w:rPr>
          <w:rFonts w:hint="eastAsia"/>
          <w:color w:val="auto"/>
          <w:highlight w:val="none"/>
        </w:rPr>
        <w:t xml:space="preserve">《环境影响评价技术导则 </w:t>
      </w:r>
      <w:r>
        <w:rPr>
          <w:rFonts w:hint="eastAsia"/>
          <w:color w:val="auto"/>
          <w:highlight w:val="none"/>
          <w:lang w:val="en-US" w:eastAsia="zh-CN"/>
        </w:rPr>
        <w:t xml:space="preserve"> </w:t>
      </w:r>
      <w:r>
        <w:rPr>
          <w:rFonts w:hint="eastAsia"/>
          <w:color w:val="auto"/>
          <w:highlight w:val="none"/>
        </w:rPr>
        <w:t>大气环境》</w:t>
      </w:r>
      <w:r>
        <w:rPr>
          <w:rFonts w:hint="eastAsia"/>
          <w:color w:val="auto"/>
          <w:highlight w:val="none"/>
          <w:lang w:eastAsia="zh-CN"/>
        </w:rPr>
        <w:t>（</w:t>
      </w:r>
      <w:r>
        <w:rPr>
          <w:rFonts w:hint="eastAsia"/>
          <w:color w:val="auto"/>
          <w:highlight w:val="none"/>
        </w:rPr>
        <w:t>HJ2.2-2018）附录D中参考限值</w:t>
      </w:r>
      <w:r>
        <w:rPr>
          <w:color w:val="auto"/>
          <w:highlight w:val="none"/>
        </w:rPr>
        <w:t>。</w:t>
      </w:r>
    </w:p>
    <w:bookmarkEnd w:id="291"/>
    <w:bookmarkEnd w:id="292"/>
    <w:bookmarkEnd w:id="293"/>
    <w:bookmarkEnd w:id="294"/>
    <w:bookmarkEnd w:id="295"/>
    <w:bookmarkEnd w:id="296"/>
    <w:bookmarkEnd w:id="297"/>
    <w:bookmarkEnd w:id="298"/>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299" w:name="_Toc12651"/>
      <w:bookmarkStart w:id="300" w:name="_Toc5446"/>
      <w:bookmarkStart w:id="301" w:name="_Toc25251"/>
      <w:bookmarkStart w:id="302" w:name="_Toc19167"/>
      <w:bookmarkStart w:id="303" w:name="_Toc29967"/>
      <w:bookmarkStart w:id="304" w:name="_Toc23007"/>
      <w:bookmarkStart w:id="305" w:name="_Toc15004"/>
      <w:bookmarkStart w:id="306" w:name="_Toc29670"/>
      <w:bookmarkStart w:id="307" w:name="_Toc22021"/>
      <w:bookmarkStart w:id="308" w:name="_Toc19332"/>
      <w:r>
        <w:rPr>
          <w:rFonts w:hint="eastAsia" w:ascii="Times New Roman" w:hAnsi="Times New Roman" w:eastAsia="宋体" w:cs="Times New Roman"/>
          <w:bCs w:val="0"/>
          <w:color w:val="auto"/>
          <w:kern w:val="2"/>
          <w:szCs w:val="20"/>
          <w:highlight w:val="none"/>
          <w:lang w:val="en-US" w:bidi="ar-SA"/>
        </w:rPr>
        <w:t>4.4地表水环境质量现状评价</w:t>
      </w:r>
      <w:bookmarkEnd w:id="299"/>
      <w:bookmarkEnd w:id="300"/>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309" w:name="_Toc14076"/>
      <w:bookmarkStart w:id="310" w:name="_Toc22322"/>
      <w:bookmarkStart w:id="311" w:name="_Toc13543"/>
      <w:bookmarkStart w:id="312" w:name="_Toc19813"/>
      <w:bookmarkStart w:id="313" w:name="_Toc10394"/>
      <w:bookmarkStart w:id="314" w:name="_Toc3938"/>
      <w:r>
        <w:rPr>
          <w:rFonts w:ascii="Times New Roman" w:hAnsi="Times New Roman" w:eastAsia="宋体" w:cs="Times New Roman"/>
          <w:bCs w:val="0"/>
          <w:color w:val="auto"/>
          <w:szCs w:val="20"/>
          <w:highlight w:val="none"/>
          <w:lang w:val="en-US" w:bidi="ar-SA"/>
        </w:rPr>
        <w:t>4.4.</w:t>
      </w:r>
      <w:r>
        <w:rPr>
          <w:rFonts w:hint="eastAsia" w:ascii="Times New Roman" w:hAnsi="Times New Roman" w:cs="Times New Roman"/>
          <w:bCs w:val="0"/>
          <w:color w:val="auto"/>
          <w:szCs w:val="20"/>
          <w:highlight w:val="none"/>
          <w:lang w:val="en-US" w:eastAsia="zh-CN" w:bidi="ar-SA"/>
        </w:rPr>
        <w:t>1</w:t>
      </w:r>
      <w:r>
        <w:rPr>
          <w:rFonts w:ascii="Times New Roman" w:hAnsi="Times New Roman" w:eastAsia="宋体" w:cs="Times New Roman"/>
          <w:bCs w:val="0"/>
          <w:color w:val="auto"/>
          <w:szCs w:val="20"/>
          <w:highlight w:val="none"/>
          <w:lang w:val="en-US" w:bidi="ar-SA"/>
        </w:rPr>
        <w:t>现状评价</w:t>
      </w:r>
      <w:bookmarkEnd w:id="309"/>
      <w:bookmarkEnd w:id="310"/>
      <w:bookmarkEnd w:id="311"/>
      <w:bookmarkEnd w:id="312"/>
      <w:bookmarkEnd w:id="313"/>
      <w:bookmarkEnd w:id="314"/>
    </w:p>
    <w:p>
      <w:pPr>
        <w:autoSpaceDE w:val="0"/>
        <w:autoSpaceDN w:val="0"/>
        <w:bidi w:val="0"/>
        <w:spacing w:before="0" w:after="0" w:line="500" w:lineRule="exact"/>
        <w:ind w:left="0" w:right="0" w:firstLine="480" w:firstLineChars="200"/>
        <w:jc w:val="both"/>
        <w:rPr>
          <w:color w:val="auto"/>
          <w:highlight w:val="none"/>
        </w:rPr>
      </w:pPr>
      <w:r>
        <w:rPr>
          <w:rFonts w:hint="eastAsia" w:ascii="Times New Roman" w:hAnsi="Times New Roman" w:eastAsia="宋体" w:cs="Times New Roman"/>
          <w:color w:val="auto"/>
          <w:sz w:val="24"/>
          <w:szCs w:val="22"/>
          <w:highlight w:val="none"/>
          <w:lang w:val="en-US" w:eastAsia="zh-CN" w:bidi="zh-CN"/>
        </w:rPr>
        <w:t>由于本工程不涉及的地表水体，距离本项目最近地表水体为库里泡，位于本项目东南侧5.2km，根据《大庆市人民政府关于印发大庆市声环境功能区划分、大庆市环境空气质量功能区划分、大庆市地表水环境功能区划分的通知》（庆政发[2019]11号），库里泡水体功能为过渡区</w:t>
      </w:r>
      <w:r>
        <w:rPr>
          <w:rFonts w:hint="eastAsia" w:cs="Times New Roman"/>
          <w:color w:val="auto"/>
          <w:sz w:val="24"/>
          <w:szCs w:val="22"/>
          <w:highlight w:val="none"/>
          <w:lang w:val="en-US" w:eastAsia="zh-CN" w:bidi="zh-CN"/>
        </w:rPr>
        <w:t>。</w:t>
      </w:r>
      <w:r>
        <w:rPr>
          <w:rFonts w:hint="eastAsia" w:ascii="Times New Roman" w:hAnsi="Times New Roman" w:eastAsia="宋体" w:cs="Times New Roman"/>
          <w:color w:val="auto"/>
          <w:sz w:val="24"/>
          <w:szCs w:val="22"/>
          <w:highlight w:val="none"/>
          <w:lang w:val="en-US" w:eastAsia="zh-CN" w:bidi="zh-CN"/>
        </w:rPr>
        <w:t>根据《202</w:t>
      </w:r>
      <w:r>
        <w:rPr>
          <w:rFonts w:hint="eastAsia" w:ascii="Times New Roman" w:cs="Times New Roman"/>
          <w:color w:val="auto"/>
          <w:sz w:val="24"/>
          <w:szCs w:val="22"/>
          <w:highlight w:val="none"/>
          <w:lang w:val="en-US" w:eastAsia="zh-CN" w:bidi="zh-CN"/>
        </w:rPr>
        <w:t>2</w:t>
      </w:r>
      <w:r>
        <w:rPr>
          <w:rFonts w:hint="eastAsia" w:ascii="Times New Roman" w:hAnsi="Times New Roman" w:eastAsia="宋体" w:cs="Times New Roman"/>
          <w:color w:val="auto"/>
          <w:sz w:val="24"/>
          <w:szCs w:val="22"/>
          <w:highlight w:val="none"/>
          <w:lang w:val="en-US" w:eastAsia="zh-CN" w:bidi="zh-CN"/>
        </w:rPr>
        <w:t>年大庆市生态环境状况公报》可知，通过古恰泄洪闸口监测数据进行分析，安肇新河古恰泄洪闸口污染物浓度持续降低， 化学需氧量、 高锰酸盐指数、总磷同比分别下降18.9%、14.4%、13.3%，历史首次达到地表五类水质。库里泡执行《地表水环境质量标准》（GB3838-2002）中</w:t>
      </w:r>
      <w:r>
        <w:rPr>
          <w:rFonts w:hint="eastAsia" w:cs="Times New Roman"/>
          <w:color w:val="auto"/>
          <w:sz w:val="24"/>
          <w:szCs w:val="22"/>
          <w:highlight w:val="none"/>
          <w:lang w:val="en-US" w:eastAsia="zh-CN" w:bidi="zh-CN"/>
        </w:rPr>
        <w:t>Ⅴ</w:t>
      </w:r>
      <w:r>
        <w:rPr>
          <w:rFonts w:hint="eastAsia" w:ascii="Times New Roman" w:hAnsi="Times New Roman" w:eastAsia="宋体" w:cs="Times New Roman"/>
          <w:color w:val="auto"/>
          <w:sz w:val="24"/>
          <w:szCs w:val="22"/>
          <w:highlight w:val="none"/>
          <w:lang w:val="en-US" w:eastAsia="zh-CN" w:bidi="zh-CN"/>
        </w:rPr>
        <w:t>类水体标准。</w:t>
      </w:r>
      <w:bookmarkEnd w:id="301"/>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315" w:name="_Toc27883"/>
      <w:bookmarkStart w:id="316" w:name="_Toc10503"/>
      <w:r>
        <w:rPr>
          <w:rFonts w:hint="eastAsia" w:ascii="Times New Roman" w:hAnsi="Times New Roman" w:eastAsia="宋体" w:cs="Times New Roman"/>
          <w:bCs w:val="0"/>
          <w:color w:val="auto"/>
          <w:kern w:val="2"/>
          <w:szCs w:val="20"/>
          <w:highlight w:val="none"/>
          <w:lang w:val="en-US" w:bidi="ar-SA"/>
        </w:rPr>
        <w:t>4.5地下水环境现状调查与评价</w:t>
      </w:r>
      <w:bookmarkEnd w:id="302"/>
      <w:bookmarkEnd w:id="303"/>
      <w:bookmarkEnd w:id="304"/>
      <w:bookmarkEnd w:id="305"/>
      <w:bookmarkEnd w:id="306"/>
      <w:bookmarkEnd w:id="307"/>
      <w:bookmarkEnd w:id="308"/>
      <w:bookmarkEnd w:id="315"/>
      <w:bookmarkEnd w:id="316"/>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317" w:name="_Toc3822"/>
      <w:bookmarkStart w:id="318" w:name="_Toc5976"/>
      <w:bookmarkStart w:id="319" w:name="_Toc31794"/>
      <w:bookmarkStart w:id="320" w:name="_Toc31793"/>
      <w:bookmarkStart w:id="321" w:name="_Toc27057"/>
      <w:bookmarkStart w:id="322" w:name="_Toc10725"/>
      <w:r>
        <w:rPr>
          <w:rFonts w:ascii="Times New Roman" w:hAnsi="Times New Roman" w:eastAsia="宋体" w:cs="Times New Roman"/>
          <w:bCs w:val="0"/>
          <w:color w:val="auto"/>
          <w:szCs w:val="20"/>
          <w:highlight w:val="none"/>
          <w:lang w:val="en-US" w:bidi="ar-SA"/>
        </w:rPr>
        <w:t>4.5.1地下水环境质量现状监测</w:t>
      </w:r>
      <w:bookmarkEnd w:id="317"/>
      <w:bookmarkEnd w:id="318"/>
      <w:bookmarkEnd w:id="319"/>
      <w:bookmarkEnd w:id="320"/>
      <w:bookmarkEnd w:id="321"/>
      <w:bookmarkEnd w:id="322"/>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323" w:name="_Toc460677726"/>
      <w:bookmarkStart w:id="324" w:name="_Toc26296"/>
      <w:bookmarkStart w:id="325" w:name="_Toc29403"/>
      <w:bookmarkStart w:id="326" w:name="_Toc13795"/>
      <w:bookmarkStart w:id="327" w:name="_Toc2557"/>
      <w:bookmarkStart w:id="328" w:name="_Toc21396"/>
      <w:bookmarkStart w:id="329" w:name="_Toc27125"/>
      <w:bookmarkStart w:id="330" w:name="_Toc26271"/>
      <w:r>
        <w:rPr>
          <w:rFonts w:hint="eastAsia" w:ascii="Times New Roman" w:hAnsi="Times New Roman" w:eastAsia="宋体" w:cs="Times New Roman"/>
          <w:b/>
          <w:bCs/>
          <w:color w:val="auto"/>
          <w:szCs w:val="20"/>
          <w:highlight w:val="none"/>
          <w:lang w:val="en-US" w:eastAsia="zh-CN" w:bidi="ar-SA"/>
        </w:rPr>
        <w:t>4.5.1.1监测点位</w:t>
      </w:r>
    </w:p>
    <w:p>
      <w:pPr>
        <w:bidi w:val="0"/>
        <w:rPr>
          <w:color w:val="auto"/>
          <w:highlight w:val="none"/>
        </w:rPr>
      </w:pPr>
      <w:r>
        <w:rPr>
          <w:color w:val="auto"/>
          <w:highlight w:val="none"/>
        </w:rPr>
        <w:t>评价范围为以</w:t>
      </w:r>
      <w:r>
        <w:rPr>
          <w:rFonts w:hint="eastAsia"/>
          <w:color w:val="auto"/>
          <w:highlight w:val="none"/>
        </w:rPr>
        <w:t>生产车间</w:t>
      </w:r>
      <w:r>
        <w:rPr>
          <w:color w:val="auto"/>
          <w:highlight w:val="none"/>
        </w:rPr>
        <w:t>为中心，</w:t>
      </w:r>
      <w:r>
        <w:rPr>
          <w:rFonts w:hint="eastAsia"/>
          <w:color w:val="auto"/>
          <w:highlight w:val="none"/>
          <w:lang w:eastAsia="zh-CN"/>
        </w:rPr>
        <w:t>厂址</w:t>
      </w:r>
      <w:r>
        <w:rPr>
          <w:rFonts w:hint="eastAsia"/>
          <w:color w:val="auto"/>
          <w:highlight w:val="none"/>
        </w:rPr>
        <w:t>上游</w:t>
      </w:r>
      <w:r>
        <w:rPr>
          <w:rFonts w:hint="eastAsia"/>
          <w:color w:val="auto"/>
          <w:highlight w:val="none"/>
          <w:lang w:val="en-US" w:eastAsia="zh-CN"/>
        </w:rPr>
        <w:t>440</w:t>
      </w:r>
      <w:r>
        <w:rPr>
          <w:rFonts w:hint="eastAsia"/>
          <w:color w:val="auto"/>
          <w:highlight w:val="none"/>
        </w:rPr>
        <w:t>m、下游860m及两侧</w:t>
      </w:r>
      <w:r>
        <w:rPr>
          <w:color w:val="auto"/>
          <w:highlight w:val="none"/>
        </w:rPr>
        <w:t>各4</w:t>
      </w:r>
      <w:r>
        <w:rPr>
          <w:rFonts w:hint="eastAsia"/>
          <w:color w:val="auto"/>
          <w:highlight w:val="none"/>
          <w:lang w:val="en-US" w:eastAsia="zh-CN"/>
        </w:rPr>
        <w:t>3</w:t>
      </w:r>
      <w:r>
        <w:rPr>
          <w:color w:val="auto"/>
          <w:highlight w:val="none"/>
        </w:rPr>
        <w:t>0m</w:t>
      </w:r>
      <w:r>
        <w:rPr>
          <w:rFonts w:hint="eastAsia"/>
          <w:color w:val="auto"/>
          <w:highlight w:val="none"/>
        </w:rPr>
        <w:t>构成的区域范围</w:t>
      </w:r>
      <w:r>
        <w:rPr>
          <w:color w:val="auto"/>
          <w:highlight w:val="none"/>
        </w:rPr>
        <w:t>，参照《环境影响评价技术导则</w:t>
      </w:r>
      <w:r>
        <w:rPr>
          <w:rFonts w:hint="eastAsia"/>
          <w:color w:val="auto"/>
          <w:highlight w:val="none"/>
          <w:lang w:val="en-US" w:eastAsia="zh-CN"/>
        </w:rPr>
        <w:t xml:space="preserve"> </w:t>
      </w:r>
      <w:r>
        <w:rPr>
          <w:color w:val="auto"/>
          <w:highlight w:val="none"/>
        </w:rPr>
        <w:t>地下水环境》</w:t>
      </w:r>
      <w:r>
        <w:rPr>
          <w:rFonts w:hint="eastAsia"/>
          <w:color w:val="auto"/>
          <w:highlight w:val="none"/>
          <w:lang w:eastAsia="zh-CN"/>
        </w:rPr>
        <w:t>（</w:t>
      </w:r>
      <w:r>
        <w:rPr>
          <w:color w:val="auto"/>
          <w:highlight w:val="none"/>
        </w:rPr>
        <w:t>HJ610-2016），根据地下水径流方向由东北向西南，布设地下水监测点</w:t>
      </w:r>
      <w:r>
        <w:rPr>
          <w:rFonts w:hint="eastAsia"/>
          <w:color w:val="auto"/>
          <w:highlight w:val="none"/>
          <w:lang w:val="en-US" w:eastAsia="zh-CN"/>
        </w:rPr>
        <w:t>6</w:t>
      </w:r>
      <w:r>
        <w:rPr>
          <w:color w:val="auto"/>
          <w:highlight w:val="none"/>
        </w:rPr>
        <w:t>个。监测点具体位置图4.5</w:t>
      </w:r>
      <w:r>
        <w:rPr>
          <w:rFonts w:hint="eastAsia"/>
          <w:color w:val="auto"/>
          <w:highlight w:val="none"/>
          <w:lang w:val="en-US" w:eastAsia="zh-CN"/>
        </w:rPr>
        <w:t>.1.1</w:t>
      </w:r>
      <w:r>
        <w:rPr>
          <w:color w:val="auto"/>
          <w:highlight w:val="none"/>
        </w:rPr>
        <w:t>-1，监测点基本情况见表4.5</w:t>
      </w:r>
      <w:r>
        <w:rPr>
          <w:rFonts w:hint="eastAsia"/>
          <w:color w:val="auto"/>
          <w:highlight w:val="none"/>
          <w:lang w:val="en-US" w:eastAsia="zh-CN"/>
        </w:rPr>
        <w:t>.1.1</w:t>
      </w:r>
      <w:r>
        <w:rPr>
          <w:color w:val="auto"/>
          <w:highlight w:val="none"/>
        </w:rPr>
        <w:t>-1。</w:t>
      </w:r>
    </w:p>
    <w:p>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val="0"/>
          <w:bCs/>
          <w:caps w:val="0"/>
          <w:smallCaps w:val="0"/>
          <w:color w:val="auto"/>
          <w:spacing w:val="0"/>
          <w:w w:val="99"/>
          <w:position w:val="0"/>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4.5.1.1-1</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地下水位监测结果</w:t>
      </w:r>
    </w:p>
    <w:tbl>
      <w:tblPr>
        <w:tblStyle w:val="23"/>
        <w:tblW w:w="92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2374"/>
        <w:gridCol w:w="1885"/>
        <w:gridCol w:w="1935"/>
        <w:gridCol w:w="19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编号</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监测点位置</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井深m</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水位埋深</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default" w:ascii="Times New Roman" w:hAnsi="Times New Roman" w:eastAsia="宋体" w:cs="Times New Roman"/>
                <w:color w:val="auto"/>
                <w:spacing w:val="0"/>
                <w:w w:val="100"/>
                <w:position w:val="0"/>
                <w:sz w:val="21"/>
                <w:szCs w:val="21"/>
                <w:highlight w:val="none"/>
                <w:lang w:val="zh-CN" w:bidi="zh-CN"/>
              </w:rPr>
              <w:t>m）</w:t>
            </w:r>
          </w:p>
        </w:tc>
        <w:tc>
          <w:tcPr>
            <w:tcW w:w="1936"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监测含水层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散户（</w:t>
            </w:r>
            <w:r>
              <w:rPr>
                <w:rFonts w:hint="eastAsia" w:cs="Times New Roman"/>
                <w:color w:val="auto"/>
                <w:spacing w:val="0"/>
                <w:w w:val="100"/>
                <w:position w:val="0"/>
                <w:sz w:val="21"/>
                <w:szCs w:val="21"/>
                <w:highlight w:val="none"/>
                <w:lang w:val="en-US" w:eastAsia="zh-CN" w:bidi="zh-CN"/>
              </w:rPr>
              <w:t>1户、赵家</w:t>
            </w:r>
            <w:r>
              <w:rPr>
                <w:rFonts w:hint="eastAsia" w:ascii="Times New Roman" w:hAnsi="Times New Roman" w:eastAsia="宋体" w:cs="Times New Roman"/>
                <w:color w:val="auto"/>
                <w:spacing w:val="0"/>
                <w:w w:val="100"/>
                <w:position w:val="0"/>
                <w:sz w:val="21"/>
                <w:szCs w:val="21"/>
                <w:highlight w:val="none"/>
                <w:lang w:val="zh-CN" w:eastAsia="zh-CN" w:bidi="zh-CN"/>
              </w:rPr>
              <w:t>）</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75</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bCs/>
                <w:caps w:val="0"/>
                <w:smallCaps w:val="0"/>
                <w:color w:val="auto"/>
                <w:spacing w:val="0"/>
                <w:w w:val="99"/>
                <w:kern w:val="2"/>
                <w:position w:val="0"/>
                <w:sz w:val="21"/>
                <w:szCs w:val="21"/>
                <w:highlight w:val="none"/>
                <w:lang w:val="en-US" w:eastAsia="zh-CN" w:bidi="ar-SA"/>
              </w:rPr>
              <w:t>6.5</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大庆金开元加工厂</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74</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bCs/>
                <w:caps w:val="0"/>
                <w:smallCaps w:val="0"/>
                <w:color w:val="auto"/>
                <w:spacing w:val="0"/>
                <w:w w:val="99"/>
                <w:kern w:val="2"/>
                <w:position w:val="0"/>
                <w:sz w:val="21"/>
                <w:szCs w:val="21"/>
                <w:highlight w:val="none"/>
                <w:lang w:val="en-US" w:eastAsia="zh-CN" w:bidi="ar-SA"/>
              </w:rPr>
              <w:t>5.3</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3#</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大庆虹桥纸业有限公司</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75</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cs="Times New Roman"/>
                <w:caps w:val="0"/>
                <w:smallCaps w:val="0"/>
                <w:color w:val="auto"/>
                <w:spacing w:val="0"/>
                <w:w w:val="99"/>
                <w:kern w:val="2"/>
                <w:position w:val="0"/>
                <w:sz w:val="21"/>
                <w:szCs w:val="21"/>
                <w:highlight w:val="none"/>
                <w:lang w:val="en-US" w:eastAsia="zh-CN" w:bidi="ar-SA"/>
              </w:rPr>
              <w:t>5.7</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4#</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后桥家围子</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71</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bidi="zh-CN"/>
              </w:rPr>
            </w:pPr>
            <w:r>
              <w:rPr>
                <w:rFonts w:hint="eastAsia" w:cs="Times New Roman"/>
                <w:color w:val="auto"/>
                <w:spacing w:val="0"/>
                <w:w w:val="100"/>
                <w:position w:val="0"/>
                <w:sz w:val="21"/>
                <w:szCs w:val="21"/>
                <w:highlight w:val="none"/>
                <w:lang w:val="en-US" w:bidi="zh-CN"/>
              </w:rPr>
              <w:t>5.4</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5#</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桥家围子水</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72</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bidi="zh-CN"/>
              </w:rPr>
            </w:pPr>
            <w:r>
              <w:rPr>
                <w:rFonts w:hint="eastAsia" w:cs="Times New Roman"/>
                <w:color w:val="auto"/>
                <w:spacing w:val="0"/>
                <w:w w:val="100"/>
                <w:position w:val="0"/>
                <w:sz w:val="21"/>
                <w:szCs w:val="21"/>
                <w:highlight w:val="none"/>
                <w:lang w:val="en-US" w:bidi="zh-CN"/>
              </w:rPr>
              <w:t>6.1</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62"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6#</w:t>
            </w:r>
          </w:p>
        </w:tc>
        <w:tc>
          <w:tcPr>
            <w:tcW w:w="2374"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项目厂址</w:t>
            </w:r>
          </w:p>
        </w:tc>
        <w:tc>
          <w:tcPr>
            <w:tcW w:w="188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74</w:t>
            </w:r>
          </w:p>
        </w:tc>
        <w:tc>
          <w:tcPr>
            <w:tcW w:w="193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bidi="zh-CN"/>
              </w:rPr>
            </w:pPr>
            <w:r>
              <w:rPr>
                <w:rFonts w:hint="eastAsia" w:cs="Times New Roman"/>
                <w:color w:val="auto"/>
                <w:spacing w:val="0"/>
                <w:w w:val="100"/>
                <w:position w:val="0"/>
                <w:sz w:val="21"/>
                <w:szCs w:val="21"/>
                <w:highlight w:val="none"/>
                <w:lang w:val="en-US" w:bidi="zh-CN"/>
              </w:rPr>
              <w:t>5</w:t>
            </w:r>
          </w:p>
        </w:tc>
        <w:tc>
          <w:tcPr>
            <w:tcW w:w="1936" w:type="dxa"/>
            <w:vAlign w:val="top"/>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zh-CN" w:bidi="zh-CN"/>
              </w:rPr>
              <w:t>承压水监测井</w:t>
            </w:r>
          </w:p>
        </w:tc>
      </w:tr>
    </w:tbl>
    <w:p>
      <w:pPr>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）监测频率</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本项目位于松嫩平原区低平原区，依据《环境影响评价技术导则 地下水环境》</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HJ610-2016）中表4中的要求，本次地下水位监测频率为一期。</w:t>
      </w:r>
    </w:p>
    <w:p>
      <w:pPr>
        <w:keepNext/>
        <w:keepLines/>
        <w:numPr>
          <w:ilvl w:val="0"/>
          <w:numId w:val="0"/>
        </w:numPr>
        <w:autoSpaceDE/>
        <w:autoSpaceDN/>
        <w:bidi w:val="0"/>
        <w:spacing w:before="0" w:after="0" w:line="500" w:lineRule="exact"/>
        <w:ind w:right="0" w:firstLine="0" w:firstLineChars="0"/>
        <w:jc w:val="both"/>
        <w:outlineLvl w:val="9"/>
        <w:rPr>
          <w:rFonts w:hint="default"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4.5.1</w:t>
      </w:r>
      <w:r>
        <w:rPr>
          <w:rFonts w:hint="default" w:ascii="Times New Roman" w:hAnsi="Times New Roman" w:eastAsia="宋体" w:cs="Times New Roman"/>
          <w:b/>
          <w:bCs/>
          <w:color w:val="auto"/>
          <w:szCs w:val="20"/>
          <w:highlight w:val="none"/>
          <w:lang w:val="en-US" w:eastAsia="zh-CN" w:bidi="ar-SA"/>
        </w:rPr>
        <w:t>.2地下水水质监测</w:t>
      </w:r>
    </w:p>
    <w:p>
      <w:pPr>
        <w:bidi w:val="0"/>
        <w:rPr>
          <w:rFonts w:hint="default"/>
          <w:color w:val="auto"/>
          <w:sz w:val="24"/>
          <w:highlight w:val="none"/>
        </w:rPr>
      </w:pPr>
      <w:r>
        <w:rPr>
          <w:rFonts w:hint="eastAsia"/>
          <w:color w:val="auto"/>
          <w:sz w:val="24"/>
          <w:highlight w:val="none"/>
          <w:lang w:eastAsia="zh-CN"/>
        </w:rPr>
        <w:t>（</w:t>
      </w:r>
      <w:r>
        <w:rPr>
          <w:rFonts w:hint="default"/>
          <w:color w:val="auto"/>
          <w:sz w:val="24"/>
          <w:highlight w:val="none"/>
        </w:rPr>
        <w:t>1）地下水质监测因子</w:t>
      </w:r>
    </w:p>
    <w:p>
      <w:pPr>
        <w:bidi w:val="0"/>
        <w:rPr>
          <w:rFonts w:hint="default"/>
          <w:color w:val="auto"/>
          <w:sz w:val="24"/>
          <w:highlight w:val="none"/>
        </w:rPr>
      </w:pPr>
      <w:r>
        <w:rPr>
          <w:rFonts w:hint="default"/>
          <w:color w:val="auto"/>
          <w:sz w:val="24"/>
          <w:highlight w:val="none"/>
        </w:rPr>
        <w:t>监测因子：K</w:t>
      </w:r>
      <w:r>
        <w:rPr>
          <w:rFonts w:hint="default"/>
          <w:color w:val="auto"/>
          <w:sz w:val="24"/>
          <w:highlight w:val="none"/>
          <w:vertAlign w:val="superscript"/>
        </w:rPr>
        <w:t>+</w:t>
      </w:r>
      <w:r>
        <w:rPr>
          <w:rFonts w:hint="default"/>
          <w:color w:val="auto"/>
          <w:sz w:val="24"/>
          <w:highlight w:val="none"/>
        </w:rPr>
        <w:t>、Na</w:t>
      </w:r>
      <w:r>
        <w:rPr>
          <w:rFonts w:hint="default" w:ascii="Times New Roman" w:hAnsi="Times New Roman" w:eastAsia="宋体" w:cs="Times New Roman"/>
          <w:color w:val="auto"/>
          <w:sz w:val="24"/>
          <w:highlight w:val="none"/>
          <w:vertAlign w:val="superscript"/>
        </w:rPr>
        <w:t>+</w:t>
      </w:r>
      <w:r>
        <w:rPr>
          <w:rFonts w:hint="default"/>
          <w:color w:val="auto"/>
          <w:sz w:val="24"/>
          <w:highlight w:val="none"/>
        </w:rPr>
        <w:t>、Ca</w:t>
      </w:r>
      <w:r>
        <w:rPr>
          <w:rFonts w:hint="default" w:ascii="Times New Roman" w:hAnsi="Times New Roman" w:eastAsia="宋体" w:cs="Times New Roman"/>
          <w:color w:val="auto"/>
          <w:sz w:val="24"/>
          <w:highlight w:val="none"/>
          <w:vertAlign w:val="superscript"/>
        </w:rPr>
        <w:t>2+</w:t>
      </w:r>
      <w:r>
        <w:rPr>
          <w:rFonts w:hint="default"/>
          <w:color w:val="auto"/>
          <w:sz w:val="24"/>
          <w:highlight w:val="none"/>
        </w:rPr>
        <w:t>、Mg</w:t>
      </w:r>
      <w:r>
        <w:rPr>
          <w:rFonts w:hint="default" w:ascii="Times New Roman" w:hAnsi="Times New Roman" w:eastAsia="宋体" w:cs="Times New Roman"/>
          <w:color w:val="auto"/>
          <w:sz w:val="24"/>
          <w:highlight w:val="none"/>
          <w:vertAlign w:val="superscript"/>
        </w:rPr>
        <w:t>2+</w:t>
      </w:r>
      <w:r>
        <w:rPr>
          <w:rFonts w:hint="default"/>
          <w:color w:val="auto"/>
          <w:sz w:val="24"/>
          <w:highlight w:val="none"/>
        </w:rPr>
        <w:t>、CO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2-</w:t>
      </w:r>
      <w:r>
        <w:rPr>
          <w:rFonts w:hint="default"/>
          <w:color w:val="auto"/>
          <w:sz w:val="24"/>
          <w:highlight w:val="none"/>
        </w:rPr>
        <w:t>、HCO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w:t>
      </w:r>
      <w:r>
        <w:rPr>
          <w:rFonts w:hint="default"/>
          <w:color w:val="auto"/>
          <w:sz w:val="24"/>
          <w:highlight w:val="none"/>
        </w:rPr>
        <w:t>、Cl</w:t>
      </w:r>
      <w:r>
        <w:rPr>
          <w:rFonts w:hint="default" w:ascii="Times New Roman" w:hAnsi="Times New Roman" w:eastAsia="宋体" w:cs="Times New Roman"/>
          <w:color w:val="auto"/>
          <w:sz w:val="24"/>
          <w:highlight w:val="none"/>
          <w:vertAlign w:val="superscript"/>
        </w:rPr>
        <w:t>-</w:t>
      </w:r>
      <w:r>
        <w:rPr>
          <w:rFonts w:hint="default"/>
          <w:color w:val="auto"/>
          <w:sz w:val="24"/>
          <w:highlight w:val="none"/>
        </w:rPr>
        <w:t>、SO</w:t>
      </w:r>
      <w:r>
        <w:rPr>
          <w:rFonts w:hint="default" w:ascii="Times New Roman" w:hAnsi="Times New Roman" w:eastAsia="宋体" w:cs="Times New Roman"/>
          <w:color w:val="auto"/>
          <w:sz w:val="24"/>
          <w:highlight w:val="none"/>
          <w:vertAlign w:val="subscript"/>
        </w:rPr>
        <w:t>4</w:t>
      </w:r>
      <w:r>
        <w:rPr>
          <w:rFonts w:hint="default" w:ascii="Times New Roman" w:hAnsi="Times New Roman" w:eastAsia="宋体" w:cs="Times New Roman"/>
          <w:color w:val="auto"/>
          <w:sz w:val="24"/>
          <w:highlight w:val="none"/>
          <w:vertAlign w:val="superscript"/>
        </w:rPr>
        <w:t>2-</w:t>
      </w:r>
      <w:r>
        <w:rPr>
          <w:rFonts w:hint="default"/>
          <w:color w:val="auto"/>
          <w:sz w:val="24"/>
          <w:highlight w:val="none"/>
        </w:rPr>
        <w:t>、pH、氨氮、硝酸盐、亚硝酸盐、挥发性酚类、氰化物、砷、汞、铬</w:t>
      </w:r>
      <w:r>
        <w:rPr>
          <w:rFonts w:hint="eastAsia"/>
          <w:color w:val="auto"/>
          <w:sz w:val="24"/>
          <w:highlight w:val="none"/>
          <w:lang w:eastAsia="zh-CN"/>
        </w:rPr>
        <w:t>（</w:t>
      </w:r>
      <w:r>
        <w:rPr>
          <w:rFonts w:hint="default"/>
          <w:color w:val="auto"/>
          <w:sz w:val="24"/>
          <w:highlight w:val="none"/>
        </w:rPr>
        <w:t>六价）、总硬度、铅、氟化物、镉、铁、锰、溶解性总固体、耗氧量、总大肠菌群、菌落总数、石油类。</w:t>
      </w:r>
    </w:p>
    <w:p>
      <w:pPr>
        <w:bidi w:val="0"/>
        <w:rPr>
          <w:rFonts w:hint="default"/>
          <w:color w:val="auto"/>
          <w:sz w:val="24"/>
          <w:highlight w:val="none"/>
        </w:rPr>
      </w:pPr>
      <w:r>
        <w:rPr>
          <w:rFonts w:hint="eastAsia"/>
          <w:color w:val="auto"/>
          <w:sz w:val="24"/>
          <w:highlight w:val="none"/>
          <w:lang w:eastAsia="zh-CN"/>
        </w:rPr>
        <w:t>（</w:t>
      </w:r>
      <w:r>
        <w:rPr>
          <w:rFonts w:hint="default"/>
          <w:color w:val="auto"/>
          <w:sz w:val="24"/>
          <w:highlight w:val="none"/>
        </w:rPr>
        <w:t>2）水质监测布点</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根据本项目地层特征，以及地下水含水层特点和区域水资源开发利用情况，参照《环境影响评价技术导则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地下水环境》</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HJ610-2016），本次共布设</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个水质监测点。地下水水质监测布点见</w:t>
      </w:r>
      <w:r>
        <w:rPr>
          <w:rFonts w:hint="eastAsia" w:ascii="Times New Roman" w:hAnsi="Times New Roman" w:cs="Times New Roman"/>
          <w:color w:val="auto"/>
          <w:highlight w:val="none"/>
          <w:lang w:eastAsia="zh-CN"/>
        </w:rPr>
        <w:t>图</w:t>
      </w:r>
      <w:r>
        <w:rPr>
          <w:color w:val="auto"/>
          <w:highlight w:val="none"/>
        </w:rPr>
        <w:t>4.5</w:t>
      </w:r>
      <w:r>
        <w:rPr>
          <w:rFonts w:hint="eastAsia"/>
          <w:color w:val="auto"/>
          <w:highlight w:val="none"/>
          <w:lang w:val="en-US" w:eastAsia="zh-CN"/>
        </w:rPr>
        <w:t>.1.1</w:t>
      </w:r>
      <w:r>
        <w:rPr>
          <w:color w:val="auto"/>
          <w:highlight w:val="none"/>
        </w:rPr>
        <w:t>-1</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地下水水质监测布点信息见表4.</w:t>
      </w:r>
      <w:r>
        <w:rPr>
          <w:rFonts w:hint="eastAsia" w:ascii="Times New Roman" w:hAnsi="Times New Roman" w:cs="Times New Roman"/>
          <w:color w:val="auto"/>
          <w:highlight w:val="none"/>
          <w:lang w:val="en-US" w:eastAsia="zh-CN"/>
        </w:rPr>
        <w:t>5.1.2-1</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eastAsia" w:ascii="Times New Roman" w:hAnsi="Times New Roman" w:cs="Times New Roman"/>
          <w:color w:val="auto"/>
          <w:highlight w:val="none"/>
          <w:lang w:val="en-US" w:eastAsia="zh-CN"/>
        </w:rPr>
        <w:t>5.1.2-1</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地下水水质监测布点信息表</w:t>
      </w:r>
    </w:p>
    <w:tbl>
      <w:tblPr>
        <w:tblStyle w:val="23"/>
        <w:tblW w:w="92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8"/>
        <w:gridCol w:w="1955"/>
        <w:gridCol w:w="1201"/>
        <w:gridCol w:w="2041"/>
        <w:gridCol w:w="2179"/>
        <w:gridCol w:w="12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编号</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监测点位</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监测层位</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坐标</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相对位置</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井深</w:t>
            </w: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w:t>
            </w:r>
            <w:r>
              <w:rPr>
                <w:rFonts w:hint="default" w:ascii="Times New Roman" w:hAnsi="Times New Roman" w:eastAsia="宋体" w:cs="Times New Roman"/>
                <w:caps w:val="0"/>
                <w:smallCaps w:val="0"/>
                <w:color w:val="auto"/>
                <w:spacing w:val="0"/>
                <w:w w:val="100"/>
                <w:position w:val="0"/>
                <w:sz w:val="21"/>
                <w:szCs w:val="21"/>
                <w:highlight w:val="none"/>
                <w:lang w:val="zh-CN" w:bidi="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1</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散户（</w:t>
            </w:r>
            <w:r>
              <w:rPr>
                <w:rFonts w:hint="eastAsia" w:cs="Times New Roman"/>
                <w:color w:val="auto"/>
                <w:w w:val="100"/>
                <w:sz w:val="21"/>
                <w:highlight w:val="none"/>
                <w:lang w:val="en-US" w:eastAsia="zh-CN"/>
              </w:rPr>
              <w:t>1</w:t>
            </w:r>
            <w:r>
              <w:rPr>
                <w:rFonts w:hint="eastAsia" w:cs="Times New Roman"/>
                <w:color w:val="auto"/>
                <w:w w:val="100"/>
                <w:sz w:val="21"/>
                <w:highlight w:val="none"/>
                <w:lang w:eastAsia="zh-CN"/>
              </w:rPr>
              <w:t>户、赵家</w:t>
            </w: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E124.71008</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N45.93456</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项目厂址东北侧</w:t>
            </w:r>
            <w:r>
              <w:rPr>
                <w:rFonts w:hint="eastAsia" w:cs="Times New Roman"/>
                <w:caps w:val="0"/>
                <w:smallCaps w:val="0"/>
                <w:color w:val="auto"/>
                <w:spacing w:val="0"/>
                <w:w w:val="100"/>
                <w:position w:val="0"/>
                <w:sz w:val="21"/>
                <w:szCs w:val="21"/>
                <w:highlight w:val="none"/>
                <w:lang w:val="en-US" w:eastAsia="zh-CN" w:bidi="zh-CN"/>
              </w:rPr>
              <w:t>1216</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m</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2</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大庆金开元加工厂</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E124.72583</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N45.92681</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项目厂址东北侧</w:t>
            </w:r>
            <w:r>
              <w:rPr>
                <w:rFonts w:hint="eastAsia" w:cs="Times New Roman"/>
                <w:caps w:val="0"/>
                <w:smallCaps w:val="0"/>
                <w:color w:val="auto"/>
                <w:spacing w:val="0"/>
                <w:w w:val="100"/>
                <w:position w:val="0"/>
                <w:sz w:val="21"/>
                <w:szCs w:val="21"/>
                <w:highlight w:val="none"/>
                <w:lang w:val="en-US" w:eastAsia="zh-CN" w:bidi="zh-CN"/>
              </w:rPr>
              <w:t>686</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m厂子</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3</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大庆虹桥纸业有限公司</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E124.71129</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N45.92637</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项目厂址东北侧</w:t>
            </w:r>
            <w:r>
              <w:rPr>
                <w:rFonts w:hint="eastAsia" w:cs="Times New Roman"/>
                <w:caps w:val="0"/>
                <w:smallCaps w:val="0"/>
                <w:color w:val="auto"/>
                <w:spacing w:val="0"/>
                <w:w w:val="100"/>
                <w:position w:val="0"/>
                <w:sz w:val="21"/>
                <w:szCs w:val="21"/>
                <w:highlight w:val="none"/>
                <w:lang w:val="en-US" w:eastAsia="zh-CN" w:bidi="zh-CN"/>
              </w:rPr>
              <w:t>423</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m厂子</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4</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后桥家围子</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E124.71995</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N45.92115</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项目厂址</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东南侧 210m</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5</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桥家围子水</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E124.72317</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N45.91247</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项目厂址</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东南侧</w:t>
            </w:r>
            <w:r>
              <w:rPr>
                <w:rFonts w:hint="eastAsia" w:cs="Times New Roman"/>
                <w:caps w:val="0"/>
                <w:smallCaps w:val="0"/>
                <w:color w:val="auto"/>
                <w:spacing w:val="0"/>
                <w:w w:val="100"/>
                <w:position w:val="0"/>
                <w:sz w:val="21"/>
                <w:szCs w:val="21"/>
                <w:highlight w:val="none"/>
                <w:lang w:val="en-US" w:eastAsia="zh-CN" w:bidi="zh-CN"/>
              </w:rPr>
              <w:t>1365</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m</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6</w:t>
            </w:r>
          </w:p>
        </w:tc>
        <w:tc>
          <w:tcPr>
            <w:tcW w:w="1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项目厂址</w:t>
            </w:r>
          </w:p>
        </w:tc>
        <w:tc>
          <w:tcPr>
            <w:tcW w:w="12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承压水</w:t>
            </w:r>
          </w:p>
        </w:tc>
        <w:tc>
          <w:tcPr>
            <w:tcW w:w="20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E124.71681</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N45.92467</w:t>
            </w:r>
          </w:p>
        </w:tc>
        <w:tc>
          <w:tcPr>
            <w:tcW w:w="21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w:t>
            </w:r>
          </w:p>
        </w:tc>
        <w:tc>
          <w:tcPr>
            <w:tcW w:w="125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74</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val="0"/>
          <w:bCs w:val="0"/>
          <w:color w:val="auto"/>
          <w:highlight w:val="none"/>
        </w:rPr>
        <w:drawing>
          <wp:inline distT="0" distB="0" distL="114300" distR="114300">
            <wp:extent cx="5755005" cy="3848735"/>
            <wp:effectExtent l="0" t="0" r="17145" b="18415"/>
            <wp:docPr id="30" name="图片 3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
                    <pic:cNvPicPr>
                      <a:picLocks noChangeAspect="1"/>
                    </pic:cNvPicPr>
                  </pic:nvPicPr>
                  <pic:blipFill>
                    <a:blip r:embed="rId42"/>
                    <a:stretch>
                      <a:fillRect/>
                    </a:stretch>
                  </pic:blipFill>
                  <pic:spPr>
                    <a:xfrm>
                      <a:off x="0" y="0"/>
                      <a:ext cx="5755005" cy="3848735"/>
                    </a:xfrm>
                    <a:prstGeom prst="rect">
                      <a:avLst/>
                    </a:prstGeom>
                  </pic:spPr>
                </pic:pic>
              </a:graphicData>
            </a:graphic>
          </wp:inline>
        </w:drawing>
      </w:r>
      <w:r>
        <w:rPr>
          <w:rFonts w:hint="default" w:ascii="Times New Roman" w:hAnsi="Times New Roman" w:eastAsia="宋体" w:cs="Times New Roman"/>
          <w:b w:val="0"/>
          <w:bCs w:val="0"/>
          <w:color w:val="auto"/>
          <w:highlight w:val="none"/>
        </w:rPr>
        <w:t>图</w:t>
      </w:r>
      <w:r>
        <w:rPr>
          <w:color w:val="auto"/>
          <w:highlight w:val="none"/>
        </w:rPr>
        <w:t>4.5</w:t>
      </w:r>
      <w:r>
        <w:rPr>
          <w:rFonts w:hint="eastAsia"/>
          <w:color w:val="auto"/>
          <w:highlight w:val="none"/>
          <w:lang w:val="en-US" w:eastAsia="zh-CN"/>
        </w:rPr>
        <w:t>.1.1</w:t>
      </w:r>
      <w:r>
        <w:rPr>
          <w:color w:val="auto"/>
          <w:highlight w:val="none"/>
        </w:rPr>
        <w:t>-1</w:t>
      </w:r>
      <w:r>
        <w:rPr>
          <w:rFonts w:hint="default" w:ascii="Times New Roman" w:hAnsi="Times New Roman" w:eastAsia="宋体" w:cs="Times New Roman"/>
          <w:b w:val="0"/>
          <w:bCs w:val="0"/>
          <w:color w:val="auto"/>
          <w:highlight w:val="none"/>
        </w:rPr>
        <w:t xml:space="preserve">  地下水监测布点图</w:t>
      </w:r>
    </w:p>
    <w:p>
      <w:pPr>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3）监测时间及频次</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年</w:t>
      </w:r>
      <w:r>
        <w:rPr>
          <w:rFonts w:hint="eastAsia" w:cs="Times New Roman"/>
          <w:color w:val="auto"/>
          <w:highlight w:val="none"/>
          <w:lang w:val="en-US" w:eastAsia="zh-CN"/>
        </w:rPr>
        <w:t>1</w:t>
      </w:r>
      <w:r>
        <w:rPr>
          <w:rFonts w:hint="default" w:ascii="Times New Roman" w:hAnsi="Times New Roman" w:cs="Times New Roman"/>
          <w:color w:val="auto"/>
          <w:highlight w:val="none"/>
        </w:rPr>
        <w:t>月</w:t>
      </w:r>
      <w:r>
        <w:rPr>
          <w:rFonts w:hint="eastAsia" w:cs="Times New Roman"/>
          <w:color w:val="auto"/>
          <w:highlight w:val="none"/>
          <w:lang w:val="en-US" w:eastAsia="zh-CN"/>
        </w:rPr>
        <w:t>23</w:t>
      </w:r>
      <w:r>
        <w:rPr>
          <w:rFonts w:hint="default" w:ascii="Times New Roman" w:hAnsi="Times New Roman" w:cs="Times New Roman"/>
          <w:color w:val="auto"/>
          <w:highlight w:val="none"/>
        </w:rPr>
        <w:t>日对地下水质监测井取样1次，并进行水质分析。</w:t>
      </w:r>
    </w:p>
    <w:p>
      <w:pPr>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4）监测结果</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地下水水质现状监测结果见表4.</w:t>
      </w:r>
      <w:r>
        <w:rPr>
          <w:rFonts w:hint="eastAsia" w:ascii="Times New Roman" w:hAnsi="Times New Roman" w:cs="Times New Roman"/>
          <w:color w:val="auto"/>
          <w:highlight w:val="none"/>
          <w:lang w:val="en-US" w:eastAsia="zh-CN"/>
        </w:rPr>
        <w:t>5.1.2-2</w:t>
      </w:r>
      <w:r>
        <w:rPr>
          <w:rFonts w:hint="default" w:ascii="Times New Roman" w:hAnsi="Times New Roman" w:cs="Times New Roman"/>
          <w:color w:val="auto"/>
          <w:highlight w:val="none"/>
        </w:rPr>
        <w:t>。</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eastAsia" w:ascii="Times New Roman" w:hAnsi="Times New Roman" w:cs="Times New Roman"/>
          <w:color w:val="auto"/>
          <w:highlight w:val="none"/>
          <w:lang w:val="en-US" w:eastAsia="zh-CN"/>
        </w:rPr>
        <w:t>5.1.2-2</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 xml:space="preserve">地下水水质现状监测结果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单位：mg/L</w:t>
      </w:r>
    </w:p>
    <w:tbl>
      <w:tblPr>
        <w:tblStyle w:val="23"/>
        <w:tblW w:w="9132"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28" w:type="dxa"/>
          <w:bottom w:w="0" w:type="dxa"/>
          <w:right w:w="28" w:type="dxa"/>
        </w:tblCellMar>
      </w:tblPr>
      <w:tblGrid>
        <w:gridCol w:w="1423"/>
        <w:gridCol w:w="1032"/>
        <w:gridCol w:w="1032"/>
        <w:gridCol w:w="1032"/>
        <w:gridCol w:w="1032"/>
        <w:gridCol w:w="1032"/>
        <w:gridCol w:w="955"/>
        <w:gridCol w:w="159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470" w:hRule="atLeast"/>
        </w:trPr>
        <w:tc>
          <w:tcPr>
            <w:tcW w:w="142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both"/>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mc:AlternateContent>
                <mc:Choice Requires="wps">
                  <w:drawing>
                    <wp:anchor distT="0" distB="0" distL="114300" distR="114300" simplePos="0" relativeHeight="251668480" behindDoc="0" locked="0" layoutInCell="1" allowOverlap="1">
                      <wp:simplePos x="0" y="0"/>
                      <wp:positionH relativeFrom="column">
                        <wp:posOffset>-6350</wp:posOffset>
                      </wp:positionH>
                      <wp:positionV relativeFrom="paragraph">
                        <wp:posOffset>8890</wp:posOffset>
                      </wp:positionV>
                      <wp:extent cx="889000" cy="1270000"/>
                      <wp:effectExtent l="3810" t="2540" r="21590" b="3810"/>
                      <wp:wrapNone/>
                      <wp:docPr id="31" name="直接连接符 31"/>
                      <wp:cNvGraphicFramePr/>
                      <a:graphic xmlns:a="http://schemas.openxmlformats.org/drawingml/2006/main">
                        <a:graphicData uri="http://schemas.microsoft.com/office/word/2010/wordprocessingShape">
                          <wps:wsp>
                            <wps:cNvCnPr/>
                            <wps:spPr>
                              <a:xfrm flipH="1">
                                <a:off x="0" y="0"/>
                                <a:ext cx="889000" cy="1270000"/>
                              </a:xfrm>
                              <a:prstGeom prst="line">
                                <a:avLst/>
                              </a:prstGeom>
                              <a:ln w="9525" cap="flat" cmpd="dbl">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0.5pt;margin-top:0.7pt;height:100pt;width:70pt;z-index:251668480;mso-width-relative:page;mso-height-relative:page;" filled="f" stroked="t" coordsize="21600,21600" o:gfxdata="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I9xEjVAAAACAEAAA8AAAAAAAAAAQAgAAAAIgAAAGRycy9kb3du&#10;cmV2LnhtbFBLAQIUABQAAAAIAIdO4kDB4gqxAgIAAPUDAAAOAAAAAAAAAAEAIAAAACQBAABkcnMv&#10;ZTJvRG9jLnhtbFBLBQYAAAAABgAGAFkBAACYBQAAAAA=&#10;">
                      <v:fill on="f" focussize="0,0"/>
                      <v:stroke color="#000000" linestyle="thinThin" joinstyle="round"/>
                      <v:imagedata o:title=""/>
                      <o:lock v:ext="edit" aspectratio="f"/>
                    </v:line>
                  </w:pict>
                </mc:Fallback>
              </mc:AlternateConten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监测日期</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pP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pP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pP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w:t>
            </w:r>
            <w:r>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t>监</w:t>
            </w:r>
            <w:r>
              <w:rPr>
                <w:rFonts w:hint="default" w:ascii="Times New Roman" w:hAnsi="Times New Roman" w:eastAsia="宋体" w:cs="Times New Roman"/>
                <w:caps w:val="0"/>
                <w:smallCaps w:val="0"/>
                <w:color w:val="auto"/>
                <w:spacing w:val="0"/>
                <w:w w:val="100"/>
                <w:position w:val="0"/>
                <w:sz w:val="21"/>
                <w:szCs w:val="21"/>
                <w:highlight w:val="none"/>
                <w:lang w:val="zh-CN" w:bidi="zh-CN"/>
              </w:rPr>
              <w:t>测项目</w:t>
            </w:r>
          </w:p>
        </w:tc>
        <w:tc>
          <w:tcPr>
            <w:tcW w:w="6115"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监测结果</w:t>
            </w:r>
          </w:p>
        </w:tc>
        <w:tc>
          <w:tcPr>
            <w:tcW w:w="159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《地下水质量标准》GB/T14848-2017</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Ⅲ类标准限值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694" w:hRule="atLeast"/>
        </w:trPr>
        <w:tc>
          <w:tcPr>
            <w:tcW w:w="14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散户</w:t>
            </w:r>
          </w:p>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（赵家）</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大庆金开元加工厂</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大庆虹桥纸业有限公司</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后桥家围子</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桥家围子水</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项目厂址</w:t>
            </w:r>
          </w:p>
        </w:tc>
        <w:tc>
          <w:tcPr>
            <w:tcW w:w="159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427" w:hRule="atLeast"/>
        </w:trPr>
        <w:tc>
          <w:tcPr>
            <w:tcW w:w="14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bidi="zh-CN"/>
              </w:rPr>
            </w:pPr>
          </w:p>
        </w:tc>
        <w:tc>
          <w:tcPr>
            <w:tcW w:w="6115"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月1</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日</w:t>
            </w:r>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31" w:name="_Toc10076"/>
            <w:bookmarkStart w:id="332" w:name="_Toc28345"/>
            <w:bookmarkStart w:id="333" w:name="_Toc7715"/>
            <w:r>
              <w:rPr>
                <w:rFonts w:hint="default" w:ascii="Times New Roman" w:hAnsi="Times New Roman" w:eastAsia="宋体" w:cs="Times New Roman"/>
                <w:caps w:val="0"/>
                <w:smallCaps w:val="0"/>
                <w:color w:val="auto"/>
                <w:spacing w:val="0"/>
                <w:w w:val="100"/>
                <w:position w:val="0"/>
                <w:sz w:val="21"/>
                <w:szCs w:val="21"/>
                <w:highlight w:val="none"/>
                <w:lang w:val="zh-CN" w:bidi="zh-CN"/>
              </w:rPr>
              <w:t>K+（</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331"/>
            <w:bookmarkEnd w:id="332"/>
            <w:bookmarkEnd w:id="33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34" w:name="_Toc4032"/>
            <w:bookmarkStart w:id="335" w:name="_Toc10186"/>
            <w:bookmarkStart w:id="336" w:name="_Toc1373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1.86</w:t>
            </w:r>
            <w:bookmarkEnd w:id="334"/>
            <w:bookmarkEnd w:id="335"/>
            <w:bookmarkEnd w:id="33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37" w:name="_Toc5357"/>
            <w:bookmarkStart w:id="338" w:name="_Toc19841"/>
            <w:bookmarkStart w:id="339" w:name="_Toc910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2.16</w:t>
            </w:r>
            <w:bookmarkEnd w:id="337"/>
            <w:bookmarkEnd w:id="338"/>
            <w:bookmarkEnd w:id="33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40" w:name="_Toc5066"/>
            <w:bookmarkStart w:id="341" w:name="_Toc21258"/>
            <w:bookmarkStart w:id="342" w:name="_Toc2044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2.14</w:t>
            </w:r>
            <w:bookmarkEnd w:id="340"/>
            <w:bookmarkEnd w:id="341"/>
            <w:bookmarkEnd w:id="34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43" w:name="_Toc23728"/>
            <w:bookmarkStart w:id="344" w:name="_Toc21842"/>
            <w:bookmarkStart w:id="345" w:name="_Toc2825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1.98</w:t>
            </w:r>
            <w:bookmarkEnd w:id="343"/>
            <w:bookmarkEnd w:id="344"/>
            <w:bookmarkEnd w:id="34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46" w:name="_Toc22614"/>
            <w:bookmarkStart w:id="347" w:name="_Toc11513"/>
            <w:bookmarkStart w:id="348" w:name="_Toc2547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2.37</w:t>
            </w:r>
            <w:bookmarkEnd w:id="346"/>
            <w:bookmarkEnd w:id="347"/>
            <w:bookmarkEnd w:id="348"/>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49" w:name="_Toc20694"/>
            <w:bookmarkStart w:id="350" w:name="_Toc2272"/>
            <w:bookmarkStart w:id="351" w:name="_Toc3147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2.44</w:t>
            </w:r>
            <w:bookmarkEnd w:id="349"/>
            <w:bookmarkEnd w:id="350"/>
            <w:bookmarkEnd w:id="351"/>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zh-CN" w:eastAsia="zh-CN" w:bidi="zh-CN"/>
              </w:rPr>
            </w:pPr>
            <w:bookmarkStart w:id="352" w:name="_Toc7850"/>
            <w:bookmarkStart w:id="353" w:name="_Toc4503"/>
            <w:bookmarkStart w:id="354" w:name="_Toc20650"/>
            <w:r>
              <w:rPr>
                <w:rFonts w:hint="default" w:ascii="Times New Roman" w:hAnsi="Times New Roman" w:eastAsia="宋体" w:cs="Times New Roman"/>
                <w:caps w:val="0"/>
                <w:smallCaps w:val="0"/>
                <w:color w:val="auto"/>
                <w:spacing w:val="0"/>
                <w:w w:val="100"/>
                <w:position w:val="0"/>
                <w:sz w:val="21"/>
                <w:szCs w:val="21"/>
                <w:highlight w:val="none"/>
                <w:lang w:val="zh-CN" w:bidi="zh-CN"/>
              </w:rPr>
              <w:t>Na+（</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352"/>
            <w:bookmarkEnd w:id="353"/>
            <w:bookmarkEnd w:id="35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55" w:name="_Toc18755"/>
            <w:bookmarkStart w:id="356" w:name="_Toc2900"/>
            <w:bookmarkStart w:id="357" w:name="_Toc2306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68.3</w:t>
            </w:r>
            <w:bookmarkEnd w:id="355"/>
            <w:bookmarkEnd w:id="356"/>
            <w:bookmarkEnd w:id="35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58" w:name="_Toc7942"/>
            <w:bookmarkStart w:id="359" w:name="_Toc28872"/>
            <w:bookmarkStart w:id="360" w:name="_Toc1429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98.5</w:t>
            </w:r>
            <w:bookmarkEnd w:id="358"/>
            <w:bookmarkEnd w:id="359"/>
            <w:bookmarkEnd w:id="36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61" w:name="_Toc6404"/>
            <w:bookmarkStart w:id="362" w:name="_Toc21385"/>
            <w:bookmarkStart w:id="363" w:name="_Toc1537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83.4</w:t>
            </w:r>
            <w:bookmarkEnd w:id="361"/>
            <w:bookmarkEnd w:id="362"/>
            <w:bookmarkEnd w:id="36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64" w:name="_Toc1387"/>
            <w:bookmarkStart w:id="365" w:name="_Toc4247"/>
            <w:bookmarkStart w:id="366" w:name="_Toc2987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85.2</w:t>
            </w:r>
            <w:bookmarkEnd w:id="364"/>
            <w:bookmarkEnd w:id="365"/>
            <w:bookmarkEnd w:id="36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67" w:name="_Toc3204"/>
            <w:bookmarkStart w:id="368" w:name="_Toc23661"/>
            <w:bookmarkStart w:id="369" w:name="_Toc2120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78.0</w:t>
            </w:r>
            <w:bookmarkEnd w:id="367"/>
            <w:bookmarkEnd w:id="368"/>
            <w:bookmarkEnd w:id="369"/>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70" w:name="_Toc5913"/>
            <w:bookmarkStart w:id="371" w:name="_Toc16378"/>
            <w:bookmarkStart w:id="372" w:name="_Toc820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94.0</w:t>
            </w:r>
            <w:bookmarkEnd w:id="370"/>
            <w:bookmarkEnd w:id="371"/>
            <w:bookmarkEnd w:id="372"/>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73" w:name="_Toc22262"/>
            <w:bookmarkStart w:id="374" w:name="_Toc580"/>
            <w:bookmarkStart w:id="375" w:name="_Toc15349"/>
            <w:r>
              <w:rPr>
                <w:rFonts w:hint="default" w:ascii="Times New Roman" w:hAnsi="Times New Roman" w:eastAsia="宋体" w:cs="Times New Roman"/>
                <w:caps w:val="0"/>
                <w:smallCaps w:val="0"/>
                <w:color w:val="auto"/>
                <w:spacing w:val="0"/>
                <w:w w:val="100"/>
                <w:position w:val="0"/>
                <w:sz w:val="21"/>
                <w:szCs w:val="21"/>
                <w:highlight w:val="none"/>
                <w:lang w:val="zh-CN" w:bidi="zh-CN"/>
              </w:rPr>
              <w:t>Ca2+（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373"/>
            <w:bookmarkEnd w:id="374"/>
            <w:bookmarkEnd w:id="37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76" w:name="_Toc10350"/>
            <w:bookmarkStart w:id="377" w:name="_Toc16527"/>
            <w:bookmarkStart w:id="378" w:name="_Toc1157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21.8</w:t>
            </w:r>
            <w:bookmarkEnd w:id="376"/>
            <w:bookmarkEnd w:id="377"/>
            <w:bookmarkEnd w:id="37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79" w:name="_Toc23395"/>
            <w:bookmarkStart w:id="380" w:name="_Toc25765"/>
            <w:bookmarkStart w:id="381" w:name="_Toc788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19.4</w:t>
            </w:r>
            <w:bookmarkEnd w:id="379"/>
            <w:bookmarkEnd w:id="380"/>
            <w:bookmarkEnd w:id="38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82" w:name="_Toc20531"/>
            <w:bookmarkStart w:id="383" w:name="_Toc6202"/>
            <w:bookmarkStart w:id="384" w:name="_Toc2498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17.7</w:t>
            </w:r>
            <w:bookmarkEnd w:id="382"/>
            <w:bookmarkEnd w:id="383"/>
            <w:bookmarkEnd w:id="38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85" w:name="_Toc13558"/>
            <w:bookmarkStart w:id="386" w:name="_Toc25618"/>
            <w:bookmarkStart w:id="387" w:name="_Toc2663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27.4</w:t>
            </w:r>
            <w:bookmarkEnd w:id="385"/>
            <w:bookmarkEnd w:id="386"/>
            <w:bookmarkEnd w:id="38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88" w:name="_Toc32579"/>
            <w:bookmarkStart w:id="389" w:name="_Toc12320"/>
            <w:bookmarkStart w:id="390" w:name="_Toc1106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20.4</w:t>
            </w:r>
            <w:bookmarkEnd w:id="388"/>
            <w:bookmarkEnd w:id="389"/>
            <w:bookmarkEnd w:id="390"/>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91" w:name="_Toc19471"/>
            <w:bookmarkStart w:id="392" w:name="_Toc13083"/>
            <w:bookmarkStart w:id="393" w:name="_Toc2282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28.0</w:t>
            </w:r>
            <w:bookmarkEnd w:id="391"/>
            <w:bookmarkEnd w:id="392"/>
            <w:bookmarkEnd w:id="393"/>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94" w:name="_Toc14274"/>
            <w:bookmarkStart w:id="395" w:name="_Toc4834"/>
            <w:bookmarkStart w:id="396" w:name="_Toc8897"/>
            <w:r>
              <w:rPr>
                <w:rFonts w:hint="default" w:ascii="Times New Roman" w:hAnsi="Times New Roman" w:eastAsia="宋体" w:cs="Times New Roman"/>
                <w:caps w:val="0"/>
                <w:smallCaps w:val="0"/>
                <w:color w:val="auto"/>
                <w:spacing w:val="0"/>
                <w:w w:val="100"/>
                <w:position w:val="0"/>
                <w:sz w:val="21"/>
                <w:szCs w:val="21"/>
                <w:highlight w:val="none"/>
                <w:lang w:val="zh-CN" w:bidi="zh-CN"/>
              </w:rPr>
              <w:t>Mg2+（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394"/>
            <w:bookmarkEnd w:id="395"/>
            <w:bookmarkEnd w:id="39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397" w:name="_Toc2572"/>
            <w:bookmarkStart w:id="398" w:name="_Toc16088"/>
            <w:bookmarkStart w:id="399" w:name="_Toc2953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11.6</w:t>
            </w:r>
            <w:bookmarkEnd w:id="397"/>
            <w:bookmarkEnd w:id="398"/>
            <w:bookmarkEnd w:id="39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00" w:name="_Toc18125"/>
            <w:bookmarkStart w:id="401" w:name="_Toc18869"/>
            <w:bookmarkStart w:id="402" w:name="_Toc1081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19.7</w:t>
            </w:r>
            <w:bookmarkEnd w:id="400"/>
            <w:bookmarkEnd w:id="401"/>
            <w:bookmarkEnd w:id="40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03" w:name="_Toc21401"/>
            <w:bookmarkStart w:id="404" w:name="_Toc3247"/>
            <w:bookmarkStart w:id="405" w:name="_Toc743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14.8</w:t>
            </w:r>
            <w:bookmarkEnd w:id="403"/>
            <w:bookmarkEnd w:id="404"/>
            <w:bookmarkEnd w:id="40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06" w:name="_Toc23840"/>
            <w:bookmarkStart w:id="407" w:name="_Toc21287"/>
            <w:bookmarkStart w:id="408" w:name="_Toc339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16.2</w:t>
            </w:r>
            <w:bookmarkEnd w:id="406"/>
            <w:bookmarkEnd w:id="407"/>
            <w:bookmarkEnd w:id="40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09" w:name="_Toc4726"/>
            <w:bookmarkStart w:id="410" w:name="_Toc28955"/>
            <w:bookmarkStart w:id="411" w:name="_Toc2337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16.9</w:t>
            </w:r>
            <w:bookmarkEnd w:id="409"/>
            <w:bookmarkEnd w:id="410"/>
            <w:bookmarkEnd w:id="411"/>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12" w:name="_Toc22039"/>
            <w:bookmarkStart w:id="413" w:name="_Toc19878"/>
            <w:bookmarkStart w:id="414" w:name="_Toc96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18.3</w:t>
            </w:r>
            <w:bookmarkEnd w:id="412"/>
            <w:bookmarkEnd w:id="413"/>
            <w:bookmarkEnd w:id="414"/>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15" w:name="_Toc30555"/>
            <w:bookmarkStart w:id="416" w:name="_Toc27788"/>
            <w:bookmarkStart w:id="417" w:name="_Toc11239"/>
            <w:r>
              <w:rPr>
                <w:rFonts w:hint="default" w:ascii="Times New Roman" w:hAnsi="Times New Roman" w:eastAsia="宋体" w:cs="Times New Roman"/>
                <w:caps w:val="0"/>
                <w:smallCaps w:val="0"/>
                <w:color w:val="auto"/>
                <w:spacing w:val="0"/>
                <w:w w:val="100"/>
                <w:position w:val="0"/>
                <w:sz w:val="21"/>
                <w:szCs w:val="21"/>
                <w:highlight w:val="none"/>
                <w:lang w:val="zh-CN" w:bidi="zh-CN"/>
              </w:rPr>
              <w:t>CO32-（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415"/>
            <w:bookmarkEnd w:id="416"/>
            <w:bookmarkEnd w:id="41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18" w:name="_Toc4898"/>
            <w:bookmarkStart w:id="419" w:name="_Toc633"/>
            <w:bookmarkStart w:id="420" w:name="_Toc2505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18"/>
            <w:bookmarkEnd w:id="419"/>
            <w:bookmarkEnd w:id="42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21" w:name="_Toc29425"/>
            <w:bookmarkStart w:id="422" w:name="_Toc28247"/>
            <w:bookmarkStart w:id="423" w:name="_Toc2163"/>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21"/>
            <w:bookmarkEnd w:id="422"/>
            <w:bookmarkEnd w:id="42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24" w:name="_Toc13863"/>
            <w:bookmarkStart w:id="425" w:name="_Toc7188"/>
            <w:bookmarkStart w:id="426" w:name="_Toc25734"/>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24"/>
            <w:bookmarkEnd w:id="425"/>
            <w:bookmarkEnd w:id="42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27" w:name="_Toc31150"/>
            <w:bookmarkStart w:id="428" w:name="_Toc13280"/>
            <w:bookmarkStart w:id="429" w:name="_Toc6164"/>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27"/>
            <w:bookmarkEnd w:id="428"/>
            <w:bookmarkEnd w:id="42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30" w:name="_Toc29534"/>
            <w:bookmarkStart w:id="431" w:name="_Toc26028"/>
            <w:bookmarkStart w:id="432" w:name="_Toc3126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30"/>
            <w:bookmarkEnd w:id="431"/>
            <w:bookmarkEnd w:id="432"/>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33" w:name="_Toc22464"/>
            <w:bookmarkStart w:id="434" w:name="_Toc27749"/>
            <w:bookmarkStart w:id="435" w:name="_Toc9152"/>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bookmarkEnd w:id="433"/>
            <w:bookmarkEnd w:id="434"/>
            <w:bookmarkEnd w:id="435"/>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36" w:name="_Toc7047"/>
            <w:bookmarkStart w:id="437" w:name="_Toc5643"/>
            <w:bookmarkStart w:id="438" w:name="_Toc15537"/>
            <w:r>
              <w:rPr>
                <w:rFonts w:hint="default" w:ascii="Times New Roman" w:hAnsi="Times New Roman" w:eastAsia="宋体" w:cs="Times New Roman"/>
                <w:caps w:val="0"/>
                <w:smallCaps w:val="0"/>
                <w:color w:val="auto"/>
                <w:spacing w:val="0"/>
                <w:w w:val="100"/>
                <w:position w:val="0"/>
                <w:sz w:val="21"/>
                <w:szCs w:val="21"/>
                <w:highlight w:val="none"/>
                <w:lang w:val="zh-CN" w:bidi="zh-CN"/>
              </w:rPr>
              <w:t>HCO3-（</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436"/>
            <w:bookmarkEnd w:id="437"/>
            <w:bookmarkEnd w:id="43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39" w:name="_Toc24959"/>
            <w:bookmarkStart w:id="440" w:name="_Toc16990"/>
            <w:bookmarkStart w:id="441" w:name="_Toc1330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228</w:t>
            </w:r>
            <w:bookmarkEnd w:id="439"/>
            <w:bookmarkEnd w:id="440"/>
            <w:bookmarkEnd w:id="44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42" w:name="_Toc15720"/>
            <w:bookmarkStart w:id="443" w:name="_Toc24664"/>
            <w:bookmarkStart w:id="444" w:name="_Toc2676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316</w:t>
            </w:r>
            <w:bookmarkEnd w:id="442"/>
            <w:bookmarkEnd w:id="443"/>
            <w:bookmarkEnd w:id="44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45" w:name="_Toc7237"/>
            <w:bookmarkStart w:id="446" w:name="_Toc10146"/>
            <w:bookmarkStart w:id="447" w:name="_Toc470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273</w:t>
            </w:r>
            <w:bookmarkEnd w:id="445"/>
            <w:bookmarkEnd w:id="446"/>
            <w:bookmarkEnd w:id="44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48" w:name="_Toc14950"/>
            <w:bookmarkStart w:id="449" w:name="_Toc4082"/>
            <w:bookmarkStart w:id="450" w:name="_Toc2949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287</w:t>
            </w:r>
            <w:bookmarkEnd w:id="448"/>
            <w:bookmarkEnd w:id="449"/>
            <w:bookmarkEnd w:id="45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51" w:name="_Toc8601"/>
            <w:bookmarkStart w:id="452" w:name="_Toc16237"/>
            <w:bookmarkStart w:id="453" w:name="_Toc926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279</w:t>
            </w:r>
            <w:bookmarkEnd w:id="451"/>
            <w:bookmarkEnd w:id="452"/>
            <w:bookmarkEnd w:id="453"/>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54" w:name="_Toc32365"/>
            <w:bookmarkStart w:id="455" w:name="_Toc20199"/>
            <w:bookmarkStart w:id="456" w:name="_Toc782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314</w:t>
            </w:r>
            <w:bookmarkEnd w:id="454"/>
            <w:bookmarkEnd w:id="455"/>
            <w:bookmarkEnd w:id="456"/>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zh-CN" w:bidi="zh-CN"/>
              </w:rPr>
              <w:t>Cl-（</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r>
              <w:rPr>
                <w:rFonts w:hint="eastAsia" w:ascii="Times New Roman" w:hAnsi="Times New Roman" w:eastAsia="宋体" w:cs="Times New Roman"/>
                <w:caps w:val="0"/>
                <w:smallCaps w:val="0"/>
                <w:color w:val="auto"/>
                <w:spacing w:val="0"/>
                <w:w w:val="100"/>
                <w:position w:val="0"/>
                <w:sz w:val="21"/>
                <w:szCs w:val="21"/>
                <w:highlight w:val="none"/>
                <w:lang w:val="zh-CN" w:bidi="zh-CN"/>
              </w:rPr>
              <w:t>氯化物</w:t>
            </w:r>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57" w:name="_Toc295"/>
            <w:bookmarkStart w:id="458" w:name="_Toc15386"/>
            <w:bookmarkStart w:id="459" w:name="_Toc2444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35.4</w:t>
            </w:r>
            <w:bookmarkEnd w:id="457"/>
            <w:bookmarkEnd w:id="458"/>
            <w:bookmarkEnd w:id="45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60" w:name="_Toc8778"/>
            <w:bookmarkStart w:id="461" w:name="_Toc18173"/>
            <w:bookmarkStart w:id="462" w:name="_Toc2280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42.2</w:t>
            </w:r>
            <w:bookmarkEnd w:id="460"/>
            <w:bookmarkEnd w:id="461"/>
            <w:bookmarkEnd w:id="46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63" w:name="_Toc6018"/>
            <w:bookmarkStart w:id="464" w:name="_Toc17800"/>
            <w:bookmarkStart w:id="465" w:name="_Toc492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37.5</w:t>
            </w:r>
            <w:bookmarkEnd w:id="463"/>
            <w:bookmarkEnd w:id="464"/>
            <w:bookmarkEnd w:id="46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66" w:name="_Toc20"/>
            <w:bookmarkStart w:id="467" w:name="_Toc5763"/>
            <w:bookmarkStart w:id="468" w:name="_Toc1359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24.2</w:t>
            </w:r>
            <w:bookmarkEnd w:id="466"/>
            <w:bookmarkEnd w:id="467"/>
            <w:bookmarkEnd w:id="46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69" w:name="_Toc12937"/>
            <w:bookmarkStart w:id="470" w:name="_Toc24947"/>
            <w:bookmarkStart w:id="471" w:name="_Toc263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31.5</w:t>
            </w:r>
            <w:bookmarkEnd w:id="469"/>
            <w:bookmarkEnd w:id="470"/>
            <w:bookmarkEnd w:id="471"/>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72" w:name="_Toc32693"/>
            <w:bookmarkStart w:id="473" w:name="_Toc18442"/>
            <w:bookmarkStart w:id="474" w:name="_Toc2424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26.6</w:t>
            </w:r>
            <w:bookmarkEnd w:id="472"/>
            <w:bookmarkEnd w:id="473"/>
            <w:bookmarkEnd w:id="474"/>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545"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75" w:name="_Toc8891"/>
            <w:bookmarkStart w:id="476" w:name="_Toc18266"/>
            <w:bookmarkStart w:id="477" w:name="_Toc27370"/>
            <w:r>
              <w:rPr>
                <w:rFonts w:hint="default" w:ascii="Times New Roman" w:hAnsi="Times New Roman" w:eastAsia="宋体" w:cs="Times New Roman"/>
                <w:caps w:val="0"/>
                <w:smallCaps w:val="0"/>
                <w:color w:val="auto"/>
                <w:spacing w:val="0"/>
                <w:w w:val="100"/>
                <w:position w:val="0"/>
                <w:sz w:val="21"/>
                <w:szCs w:val="21"/>
                <w:highlight w:val="none"/>
                <w:lang w:val="zh-CN" w:bidi="zh-CN"/>
              </w:rPr>
              <w:t>SO42-（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r>
              <w:rPr>
                <w:rFonts w:hint="eastAsia" w:ascii="Times New Roman" w:hAnsi="Times New Roman" w:eastAsia="宋体" w:cs="Times New Roman"/>
                <w:caps w:val="0"/>
                <w:smallCaps w:val="0"/>
                <w:color w:val="auto"/>
                <w:spacing w:val="0"/>
                <w:w w:val="100"/>
                <w:position w:val="0"/>
                <w:sz w:val="21"/>
                <w:szCs w:val="21"/>
                <w:highlight w:val="none"/>
                <w:lang w:val="zh-CN" w:bidi="zh-CN"/>
              </w:rPr>
              <w:t>硫酸盐</w:t>
            </w:r>
            <w:bookmarkEnd w:id="475"/>
            <w:bookmarkEnd w:id="476"/>
            <w:bookmarkEnd w:id="47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78" w:name="_Toc30368"/>
            <w:bookmarkStart w:id="479" w:name="_Toc8141"/>
            <w:bookmarkStart w:id="480" w:name="_Toc2537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29.7</w:t>
            </w:r>
            <w:bookmarkEnd w:id="478"/>
            <w:bookmarkEnd w:id="479"/>
            <w:bookmarkEnd w:id="48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81" w:name="_Toc23657"/>
            <w:bookmarkStart w:id="482" w:name="_Toc23325"/>
            <w:bookmarkStart w:id="483" w:name="_Toc110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38.9</w:t>
            </w:r>
            <w:bookmarkEnd w:id="481"/>
            <w:bookmarkEnd w:id="482"/>
            <w:bookmarkEnd w:id="48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84" w:name="_Toc24102"/>
            <w:bookmarkStart w:id="485" w:name="_Toc10473"/>
            <w:bookmarkStart w:id="486" w:name="_Toc360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31.7</w:t>
            </w:r>
            <w:bookmarkEnd w:id="484"/>
            <w:bookmarkEnd w:id="485"/>
            <w:bookmarkEnd w:id="48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87" w:name="_Toc18357"/>
            <w:bookmarkStart w:id="488" w:name="_Toc29713"/>
            <w:bookmarkStart w:id="489" w:name="_Toc593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40.3</w:t>
            </w:r>
            <w:bookmarkEnd w:id="487"/>
            <w:bookmarkEnd w:id="488"/>
            <w:bookmarkEnd w:id="48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90" w:name="_Toc15958"/>
            <w:bookmarkStart w:id="491" w:name="_Toc5854"/>
            <w:bookmarkStart w:id="492" w:name="_Toc1053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30.6</w:t>
            </w:r>
            <w:bookmarkEnd w:id="490"/>
            <w:bookmarkEnd w:id="491"/>
            <w:bookmarkEnd w:id="492"/>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93" w:name="_Toc29162"/>
            <w:bookmarkStart w:id="494" w:name="_Toc7929"/>
            <w:bookmarkStart w:id="495" w:name="_Toc1413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44.5</w:t>
            </w:r>
            <w:bookmarkEnd w:id="493"/>
            <w:bookmarkEnd w:id="494"/>
            <w:bookmarkEnd w:id="495"/>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85"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96" w:name="_Toc4657"/>
            <w:bookmarkStart w:id="497" w:name="_Toc10319"/>
            <w:bookmarkStart w:id="498" w:name="_Toc7354"/>
            <w:r>
              <w:rPr>
                <w:rFonts w:hint="default" w:ascii="Times New Roman" w:hAnsi="Times New Roman" w:eastAsia="宋体" w:cs="Times New Roman"/>
                <w:caps w:val="0"/>
                <w:smallCaps w:val="0"/>
                <w:color w:val="auto"/>
                <w:spacing w:val="0"/>
                <w:w w:val="100"/>
                <w:position w:val="0"/>
                <w:sz w:val="21"/>
                <w:szCs w:val="21"/>
                <w:highlight w:val="none"/>
                <w:lang w:val="zh-CN" w:bidi="zh-CN"/>
              </w:rPr>
              <w:t>pH（无量纲）</w:t>
            </w:r>
            <w:bookmarkEnd w:id="496"/>
            <w:bookmarkEnd w:id="497"/>
            <w:bookmarkEnd w:id="49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499" w:name="_Toc23709"/>
            <w:bookmarkStart w:id="500" w:name="_Toc3530"/>
            <w:bookmarkStart w:id="501" w:name="_Toc1876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7.2</w:t>
            </w:r>
            <w:bookmarkEnd w:id="499"/>
            <w:bookmarkEnd w:id="500"/>
            <w:bookmarkEnd w:id="50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02" w:name="_Toc26006"/>
            <w:bookmarkStart w:id="503" w:name="_Toc18233"/>
            <w:bookmarkStart w:id="504" w:name="_Toc992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7.5</w:t>
            </w:r>
            <w:bookmarkEnd w:id="502"/>
            <w:bookmarkEnd w:id="503"/>
            <w:bookmarkEnd w:id="50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05" w:name="_Toc25201"/>
            <w:bookmarkStart w:id="506" w:name="_Toc22991"/>
            <w:bookmarkStart w:id="507" w:name="_Toc2442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7.3</w:t>
            </w:r>
            <w:bookmarkEnd w:id="505"/>
            <w:bookmarkEnd w:id="506"/>
            <w:bookmarkEnd w:id="50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08" w:name="_Toc24703"/>
            <w:bookmarkStart w:id="509" w:name="_Toc12811"/>
            <w:bookmarkStart w:id="510" w:name="_Toc900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7.4</w:t>
            </w:r>
            <w:bookmarkEnd w:id="508"/>
            <w:bookmarkEnd w:id="509"/>
            <w:bookmarkEnd w:id="51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11" w:name="_Toc31495"/>
            <w:bookmarkStart w:id="512" w:name="_Toc32490"/>
            <w:bookmarkStart w:id="513" w:name="_Toc684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7.8</w:t>
            </w:r>
            <w:bookmarkEnd w:id="511"/>
            <w:bookmarkEnd w:id="512"/>
            <w:bookmarkEnd w:id="513"/>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14" w:name="_Toc1946"/>
            <w:bookmarkStart w:id="515" w:name="_Toc21942"/>
            <w:bookmarkStart w:id="516" w:name="_Toc1816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7.1</w:t>
            </w:r>
            <w:bookmarkEnd w:id="514"/>
            <w:bookmarkEnd w:id="515"/>
            <w:bookmarkEnd w:id="516"/>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6.5≤pH≤8.5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450"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17" w:name="_Toc31681"/>
            <w:bookmarkStart w:id="518" w:name="_Toc32196"/>
            <w:bookmarkStart w:id="519" w:name="_Toc6910"/>
            <w:r>
              <w:rPr>
                <w:rFonts w:hint="default" w:ascii="Times New Roman" w:hAnsi="Times New Roman" w:eastAsia="宋体" w:cs="Times New Roman"/>
                <w:caps w:val="0"/>
                <w:smallCaps w:val="0"/>
                <w:color w:val="auto"/>
                <w:spacing w:val="0"/>
                <w:w w:val="100"/>
                <w:position w:val="0"/>
                <w:sz w:val="21"/>
                <w:szCs w:val="21"/>
                <w:highlight w:val="none"/>
                <w:lang w:val="zh-CN" w:bidi="zh-CN"/>
              </w:rPr>
              <w:t>总硬度（</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517"/>
            <w:bookmarkEnd w:id="518"/>
            <w:bookmarkEnd w:id="51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20" w:name="_Toc2189"/>
            <w:bookmarkStart w:id="521" w:name="_Toc7093"/>
            <w:bookmarkStart w:id="522" w:name="_Toc528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212</w:t>
            </w:r>
            <w:bookmarkEnd w:id="520"/>
            <w:bookmarkEnd w:id="521"/>
            <w:bookmarkEnd w:id="52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23" w:name="_Toc1614"/>
            <w:bookmarkStart w:id="524" w:name="_Toc27973"/>
            <w:bookmarkStart w:id="525" w:name="_Toc1685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209</w:t>
            </w:r>
            <w:bookmarkEnd w:id="523"/>
            <w:bookmarkEnd w:id="524"/>
            <w:bookmarkEnd w:id="52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26" w:name="_Toc26334"/>
            <w:bookmarkStart w:id="527" w:name="_Toc8624"/>
            <w:bookmarkStart w:id="528" w:name="_Toc2434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262</w:t>
            </w:r>
            <w:bookmarkEnd w:id="526"/>
            <w:bookmarkEnd w:id="527"/>
            <w:bookmarkEnd w:id="52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29" w:name="_Toc28769"/>
            <w:bookmarkStart w:id="530" w:name="_Toc7933"/>
            <w:bookmarkStart w:id="531" w:name="_Toc2353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234</w:t>
            </w:r>
            <w:bookmarkEnd w:id="529"/>
            <w:bookmarkEnd w:id="530"/>
            <w:bookmarkEnd w:id="53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32" w:name="_Toc7345"/>
            <w:bookmarkStart w:id="533" w:name="_Toc12081"/>
            <w:bookmarkStart w:id="534" w:name="_Toc2063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278</w:t>
            </w:r>
            <w:bookmarkEnd w:id="532"/>
            <w:bookmarkEnd w:id="533"/>
            <w:bookmarkEnd w:id="534"/>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35" w:name="_Toc32399"/>
            <w:bookmarkStart w:id="536" w:name="_Toc2537"/>
            <w:bookmarkStart w:id="537" w:name="_Toc2720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302</w:t>
            </w:r>
            <w:bookmarkEnd w:id="535"/>
            <w:bookmarkEnd w:id="536"/>
            <w:bookmarkEnd w:id="537"/>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≤450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495"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38" w:name="_Toc29075"/>
            <w:bookmarkStart w:id="539" w:name="_Toc30910"/>
            <w:bookmarkStart w:id="540" w:name="_Toc11760"/>
            <w:r>
              <w:rPr>
                <w:rFonts w:hint="default" w:ascii="Times New Roman" w:hAnsi="Times New Roman" w:eastAsia="宋体" w:cs="Times New Roman"/>
                <w:caps w:val="0"/>
                <w:smallCaps w:val="0"/>
                <w:color w:val="auto"/>
                <w:spacing w:val="0"/>
                <w:w w:val="100"/>
                <w:position w:val="0"/>
                <w:sz w:val="21"/>
                <w:szCs w:val="21"/>
                <w:highlight w:val="none"/>
                <w:lang w:val="zh-CN" w:bidi="zh-CN"/>
              </w:rPr>
              <w:t>氨氮（</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538"/>
            <w:bookmarkEnd w:id="539"/>
            <w:bookmarkEnd w:id="54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41" w:name="_Toc8695"/>
            <w:bookmarkStart w:id="542" w:name="_Toc12070"/>
            <w:bookmarkStart w:id="543" w:name="_Toc2778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0.279</w:t>
            </w:r>
            <w:bookmarkEnd w:id="541"/>
            <w:bookmarkEnd w:id="542"/>
            <w:bookmarkEnd w:id="54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44" w:name="_Toc26157"/>
            <w:bookmarkStart w:id="545" w:name="_Toc3236"/>
            <w:bookmarkStart w:id="546" w:name="_Toc1153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0.368</w:t>
            </w:r>
            <w:bookmarkEnd w:id="544"/>
            <w:bookmarkEnd w:id="545"/>
            <w:bookmarkEnd w:id="54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47" w:name="_Toc8744"/>
            <w:bookmarkStart w:id="548" w:name="_Toc25398"/>
            <w:bookmarkStart w:id="549" w:name="_Toc3268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0.292</w:t>
            </w:r>
            <w:bookmarkEnd w:id="547"/>
            <w:bookmarkEnd w:id="548"/>
            <w:bookmarkEnd w:id="54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50" w:name="_Toc6929"/>
            <w:bookmarkStart w:id="551" w:name="_Toc31251"/>
            <w:bookmarkStart w:id="552" w:name="_Toc2140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0.103</w:t>
            </w:r>
            <w:bookmarkEnd w:id="550"/>
            <w:bookmarkEnd w:id="551"/>
            <w:bookmarkEnd w:id="55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53" w:name="_Toc15899"/>
            <w:bookmarkStart w:id="554" w:name="_Toc31410"/>
            <w:bookmarkStart w:id="555" w:name="_Toc2630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0.227</w:t>
            </w:r>
            <w:bookmarkEnd w:id="553"/>
            <w:bookmarkEnd w:id="554"/>
            <w:bookmarkEnd w:id="555"/>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56" w:name="_Toc11909"/>
            <w:bookmarkStart w:id="557" w:name="_Toc7135"/>
            <w:bookmarkStart w:id="558" w:name="_Toc3076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0.184</w:t>
            </w:r>
            <w:bookmarkEnd w:id="556"/>
            <w:bookmarkEnd w:id="557"/>
            <w:bookmarkEnd w:id="558"/>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420"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59" w:name="_Toc15333"/>
            <w:bookmarkStart w:id="560" w:name="_Toc25827"/>
            <w:bookmarkStart w:id="561" w:name="_Toc23204"/>
            <w:r>
              <w:rPr>
                <w:rFonts w:hint="default" w:ascii="Times New Roman" w:hAnsi="Times New Roman" w:eastAsia="宋体" w:cs="Times New Roman"/>
                <w:caps w:val="0"/>
                <w:smallCaps w:val="0"/>
                <w:color w:val="auto"/>
                <w:spacing w:val="0"/>
                <w:w w:val="100"/>
                <w:position w:val="0"/>
                <w:sz w:val="21"/>
                <w:szCs w:val="21"/>
                <w:highlight w:val="none"/>
                <w:lang w:val="zh-CN" w:bidi="zh-CN"/>
              </w:rPr>
              <w:t>氰化物（</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559"/>
            <w:bookmarkEnd w:id="560"/>
            <w:bookmarkEnd w:id="56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62" w:name="_Toc9575"/>
            <w:bookmarkStart w:id="563" w:name="_Toc21794"/>
            <w:bookmarkStart w:id="564" w:name="_Toc18513"/>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62"/>
            <w:bookmarkEnd w:id="563"/>
            <w:bookmarkEnd w:id="56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65" w:name="_Toc7514"/>
            <w:bookmarkStart w:id="566" w:name="_Toc2486"/>
            <w:bookmarkStart w:id="567" w:name="_Toc10289"/>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65"/>
            <w:bookmarkEnd w:id="566"/>
            <w:bookmarkEnd w:id="56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68" w:name="_Toc27783"/>
            <w:bookmarkStart w:id="569" w:name="_Toc14632"/>
            <w:bookmarkStart w:id="570" w:name="_Toc29338"/>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68"/>
            <w:bookmarkEnd w:id="569"/>
            <w:bookmarkEnd w:id="57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71" w:name="_Toc27618"/>
            <w:bookmarkStart w:id="572" w:name="_Toc7322"/>
            <w:bookmarkStart w:id="573" w:name="_Toc26386"/>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71"/>
            <w:bookmarkEnd w:id="572"/>
            <w:bookmarkEnd w:id="57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74" w:name="_Toc23106"/>
            <w:bookmarkStart w:id="575" w:name="_Toc19956"/>
            <w:bookmarkStart w:id="576" w:name="_Toc29510"/>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74"/>
            <w:bookmarkEnd w:id="575"/>
            <w:bookmarkEnd w:id="576"/>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77" w:name="_Toc914"/>
            <w:bookmarkStart w:id="578" w:name="_Toc9158"/>
            <w:bookmarkStart w:id="579" w:name="_Toc16562"/>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577"/>
            <w:bookmarkEnd w:id="578"/>
            <w:bookmarkEnd w:id="579"/>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75"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80" w:name="_Toc7455"/>
            <w:bookmarkStart w:id="581" w:name="_Toc15607"/>
            <w:bookmarkStart w:id="582" w:name="_Toc18055"/>
            <w:r>
              <w:rPr>
                <w:rFonts w:hint="default" w:ascii="Times New Roman" w:hAnsi="Times New Roman" w:eastAsia="宋体" w:cs="Times New Roman"/>
                <w:caps w:val="0"/>
                <w:smallCaps w:val="0"/>
                <w:color w:val="auto"/>
                <w:spacing w:val="0"/>
                <w:w w:val="100"/>
                <w:position w:val="0"/>
                <w:sz w:val="21"/>
                <w:szCs w:val="21"/>
                <w:highlight w:val="none"/>
                <w:lang w:val="zh-CN" w:bidi="zh-CN"/>
              </w:rPr>
              <w:t>挥发酚（</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580"/>
            <w:bookmarkEnd w:id="581"/>
            <w:bookmarkEnd w:id="58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83" w:name="_Toc7227"/>
            <w:bookmarkStart w:id="584" w:name="_Toc24586"/>
            <w:bookmarkStart w:id="585" w:name="_Toc12792"/>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83"/>
            <w:bookmarkEnd w:id="584"/>
            <w:bookmarkEnd w:id="58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86" w:name="_Toc19571"/>
            <w:bookmarkStart w:id="587" w:name="_Toc6595"/>
            <w:bookmarkStart w:id="588" w:name="_Toc748"/>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86"/>
            <w:bookmarkEnd w:id="587"/>
            <w:bookmarkEnd w:id="58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89" w:name="_Toc7903"/>
            <w:bookmarkStart w:id="590" w:name="_Toc15026"/>
            <w:bookmarkStart w:id="591" w:name="_Toc2204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89"/>
            <w:bookmarkEnd w:id="590"/>
            <w:bookmarkEnd w:id="59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92" w:name="_Toc31541"/>
            <w:bookmarkStart w:id="593" w:name="_Toc11627"/>
            <w:bookmarkStart w:id="594" w:name="_Toc9741"/>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92"/>
            <w:bookmarkEnd w:id="593"/>
            <w:bookmarkEnd w:id="59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95" w:name="_Toc4137"/>
            <w:bookmarkStart w:id="596" w:name="_Toc32723"/>
            <w:bookmarkStart w:id="597" w:name="_Toc16603"/>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95"/>
            <w:bookmarkEnd w:id="596"/>
            <w:bookmarkEnd w:id="597"/>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598" w:name="_Toc10182"/>
            <w:bookmarkStart w:id="599" w:name="_Toc16175"/>
            <w:bookmarkStart w:id="600" w:name="_Toc24764"/>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0.0003L</w:t>
            </w:r>
            <w:bookmarkEnd w:id="598"/>
            <w:bookmarkEnd w:id="599"/>
            <w:bookmarkEnd w:id="600"/>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01" w:name="_Toc18038"/>
            <w:bookmarkStart w:id="602" w:name="_Toc18432"/>
            <w:bookmarkStart w:id="603" w:name="_Toc19512"/>
            <w:r>
              <w:rPr>
                <w:rFonts w:hint="default" w:ascii="Times New Roman" w:hAnsi="Times New Roman" w:eastAsia="宋体" w:cs="Times New Roman"/>
                <w:caps w:val="0"/>
                <w:smallCaps w:val="0"/>
                <w:color w:val="auto"/>
                <w:spacing w:val="0"/>
                <w:w w:val="100"/>
                <w:position w:val="0"/>
                <w:sz w:val="21"/>
                <w:szCs w:val="21"/>
                <w:highlight w:val="none"/>
                <w:lang w:val="zh-CN" w:bidi="zh-CN"/>
              </w:rPr>
              <w:t>耗氧量（</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601"/>
            <w:bookmarkEnd w:id="602"/>
            <w:bookmarkEnd w:id="60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04" w:name="_Toc14142"/>
            <w:bookmarkStart w:id="605" w:name="_Toc16124"/>
            <w:bookmarkStart w:id="606" w:name="_Toc1386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2.48</w:t>
            </w:r>
            <w:bookmarkEnd w:id="604"/>
            <w:bookmarkEnd w:id="605"/>
            <w:bookmarkEnd w:id="60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07" w:name="_Toc20247"/>
            <w:bookmarkStart w:id="608" w:name="_Toc13061"/>
            <w:bookmarkStart w:id="609" w:name="_Toc31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2.34</w:t>
            </w:r>
            <w:bookmarkEnd w:id="607"/>
            <w:bookmarkEnd w:id="608"/>
            <w:bookmarkEnd w:id="60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10" w:name="_Toc2934"/>
            <w:bookmarkStart w:id="611" w:name="_Toc3291"/>
            <w:bookmarkStart w:id="612" w:name="_Toc3221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2.66</w:t>
            </w:r>
            <w:bookmarkEnd w:id="610"/>
            <w:bookmarkEnd w:id="611"/>
            <w:bookmarkEnd w:id="61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13" w:name="_Toc17209"/>
            <w:bookmarkStart w:id="614" w:name="_Toc23238"/>
            <w:bookmarkStart w:id="615" w:name="_Toc1773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2.17</w:t>
            </w:r>
            <w:bookmarkEnd w:id="613"/>
            <w:bookmarkEnd w:id="614"/>
            <w:bookmarkEnd w:id="61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16" w:name="_Toc14507"/>
            <w:bookmarkStart w:id="617" w:name="_Toc4173"/>
            <w:bookmarkStart w:id="618" w:name="_Toc3187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2.31</w:t>
            </w:r>
            <w:bookmarkEnd w:id="616"/>
            <w:bookmarkEnd w:id="617"/>
            <w:bookmarkEnd w:id="618"/>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19" w:name="_Toc31089"/>
            <w:bookmarkStart w:id="620" w:name="_Toc31288"/>
            <w:bookmarkStart w:id="621" w:name="_Toc3265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2.87</w:t>
            </w:r>
            <w:bookmarkEnd w:id="619"/>
            <w:bookmarkEnd w:id="620"/>
            <w:bookmarkEnd w:id="621"/>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22" w:name="_Toc19791"/>
            <w:bookmarkStart w:id="623" w:name="_Toc25511"/>
            <w:bookmarkStart w:id="624" w:name="_Toc26887"/>
            <w:r>
              <w:rPr>
                <w:rFonts w:hint="default" w:ascii="Times New Roman" w:hAnsi="Times New Roman" w:eastAsia="宋体" w:cs="Times New Roman"/>
                <w:caps w:val="0"/>
                <w:smallCaps w:val="0"/>
                <w:color w:val="auto"/>
                <w:spacing w:val="0"/>
                <w:w w:val="100"/>
                <w:position w:val="0"/>
                <w:sz w:val="21"/>
                <w:szCs w:val="21"/>
                <w:highlight w:val="none"/>
                <w:lang w:val="zh-CN" w:bidi="zh-CN"/>
              </w:rPr>
              <w:t>氟化物（</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622"/>
            <w:bookmarkEnd w:id="623"/>
            <w:bookmarkEnd w:id="62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25" w:name="_Toc1257"/>
            <w:bookmarkStart w:id="626" w:name="_Toc20610"/>
            <w:bookmarkStart w:id="627" w:name="_Toc3117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0.205</w:t>
            </w:r>
            <w:bookmarkEnd w:id="625"/>
            <w:bookmarkEnd w:id="626"/>
            <w:bookmarkEnd w:id="62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28" w:name="_Toc10320"/>
            <w:bookmarkStart w:id="629" w:name="_Toc18034"/>
            <w:bookmarkStart w:id="630" w:name="_Toc2240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0.276</w:t>
            </w:r>
            <w:bookmarkEnd w:id="628"/>
            <w:bookmarkEnd w:id="629"/>
            <w:bookmarkEnd w:id="63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31" w:name="_Toc18238"/>
            <w:bookmarkStart w:id="632" w:name="_Toc31311"/>
            <w:bookmarkStart w:id="633" w:name="_Toc2495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0.231</w:t>
            </w:r>
            <w:bookmarkEnd w:id="631"/>
            <w:bookmarkEnd w:id="632"/>
            <w:bookmarkEnd w:id="63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34" w:name="_Toc14707"/>
            <w:bookmarkStart w:id="635" w:name="_Toc22976"/>
            <w:bookmarkStart w:id="636" w:name="_Toc2488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0.243</w:t>
            </w:r>
            <w:bookmarkEnd w:id="634"/>
            <w:bookmarkEnd w:id="635"/>
            <w:bookmarkEnd w:id="63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37" w:name="_Toc28596"/>
            <w:bookmarkStart w:id="638" w:name="_Toc23808"/>
            <w:bookmarkStart w:id="639" w:name="_Toc1312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0.222</w:t>
            </w:r>
            <w:bookmarkEnd w:id="637"/>
            <w:bookmarkEnd w:id="638"/>
            <w:bookmarkEnd w:id="639"/>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40" w:name="_Toc4202"/>
            <w:bookmarkStart w:id="641" w:name="_Toc9796"/>
            <w:bookmarkStart w:id="642" w:name="_Toc1733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0.317</w:t>
            </w:r>
            <w:bookmarkEnd w:id="640"/>
            <w:bookmarkEnd w:id="641"/>
            <w:bookmarkEnd w:id="642"/>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43" w:name="_Toc32418"/>
            <w:bookmarkStart w:id="644" w:name="_Toc26987"/>
            <w:bookmarkStart w:id="645" w:name="_Toc14029"/>
            <w:r>
              <w:rPr>
                <w:rFonts w:hint="default" w:ascii="Times New Roman" w:hAnsi="Times New Roman" w:eastAsia="宋体" w:cs="Times New Roman"/>
                <w:caps w:val="0"/>
                <w:smallCaps w:val="0"/>
                <w:color w:val="auto"/>
                <w:spacing w:val="0"/>
                <w:w w:val="100"/>
                <w:position w:val="0"/>
                <w:sz w:val="21"/>
                <w:szCs w:val="21"/>
                <w:highlight w:val="none"/>
                <w:lang w:val="zh-CN" w:bidi="zh-CN"/>
              </w:rPr>
              <w:t>砷（</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µg/L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643"/>
            <w:bookmarkEnd w:id="644"/>
            <w:bookmarkEnd w:id="64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46" w:name="_Toc26615"/>
            <w:bookmarkStart w:id="647" w:name="_Toc32608"/>
            <w:bookmarkStart w:id="648" w:name="_Toc354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46"/>
            <w:bookmarkEnd w:id="647"/>
            <w:bookmarkEnd w:id="64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49" w:name="_Toc20499"/>
            <w:bookmarkStart w:id="650" w:name="_Toc11414"/>
            <w:bookmarkStart w:id="651" w:name="_Toc2812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49"/>
            <w:bookmarkEnd w:id="650"/>
            <w:bookmarkEnd w:id="65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52" w:name="_Toc254"/>
            <w:bookmarkStart w:id="653" w:name="_Toc2773"/>
            <w:bookmarkStart w:id="654" w:name="_Toc281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52"/>
            <w:bookmarkEnd w:id="653"/>
            <w:bookmarkEnd w:id="65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55" w:name="_Toc13575"/>
            <w:bookmarkStart w:id="656" w:name="_Toc30308"/>
            <w:bookmarkStart w:id="657" w:name="_Toc867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55"/>
            <w:bookmarkEnd w:id="656"/>
            <w:bookmarkEnd w:id="65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58" w:name="_Toc31805"/>
            <w:bookmarkStart w:id="659" w:name="_Toc15912"/>
            <w:bookmarkStart w:id="660" w:name="_Toc2382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58"/>
            <w:bookmarkEnd w:id="659"/>
            <w:bookmarkEnd w:id="660"/>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61" w:name="_Toc10629"/>
            <w:bookmarkStart w:id="662" w:name="_Toc5528"/>
            <w:bookmarkStart w:id="663" w:name="_Toc450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0.3L</w:t>
            </w:r>
            <w:bookmarkEnd w:id="661"/>
            <w:bookmarkEnd w:id="662"/>
            <w:bookmarkEnd w:id="663"/>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64" w:name="_Toc29125"/>
            <w:bookmarkStart w:id="665" w:name="_Toc3430"/>
            <w:bookmarkStart w:id="666" w:name="_Toc31980"/>
            <w:r>
              <w:rPr>
                <w:rFonts w:hint="default" w:ascii="Times New Roman" w:hAnsi="Times New Roman" w:eastAsia="宋体" w:cs="Times New Roman"/>
                <w:caps w:val="0"/>
                <w:smallCaps w:val="0"/>
                <w:color w:val="auto"/>
                <w:spacing w:val="0"/>
                <w:w w:val="100"/>
                <w:position w:val="0"/>
                <w:sz w:val="21"/>
                <w:szCs w:val="21"/>
                <w:highlight w:val="none"/>
                <w:lang w:val="zh-CN" w:bidi="zh-CN"/>
              </w:rPr>
              <w:t>汞（</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µg/L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664"/>
            <w:bookmarkEnd w:id="665"/>
            <w:bookmarkEnd w:id="66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67" w:name="_Toc31827"/>
            <w:bookmarkStart w:id="668" w:name="_Toc6183"/>
            <w:bookmarkStart w:id="669" w:name="_Toc1765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67"/>
            <w:bookmarkEnd w:id="668"/>
            <w:bookmarkEnd w:id="66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70" w:name="_Toc17522"/>
            <w:bookmarkStart w:id="671" w:name="_Toc15501"/>
            <w:bookmarkStart w:id="672" w:name="_Toc1303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70"/>
            <w:bookmarkEnd w:id="671"/>
            <w:bookmarkEnd w:id="67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73" w:name="_Toc32460"/>
            <w:bookmarkStart w:id="674" w:name="_Toc17741"/>
            <w:bookmarkStart w:id="675" w:name="_Toc573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73"/>
            <w:bookmarkEnd w:id="674"/>
            <w:bookmarkEnd w:id="67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76" w:name="_Toc29054"/>
            <w:bookmarkStart w:id="677" w:name="_Toc30749"/>
            <w:bookmarkStart w:id="678" w:name="_Toc2930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76"/>
            <w:bookmarkEnd w:id="677"/>
            <w:bookmarkEnd w:id="67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79" w:name="_Toc12775"/>
            <w:bookmarkStart w:id="680" w:name="_Toc22762"/>
            <w:bookmarkStart w:id="681" w:name="_Toc2624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79"/>
            <w:bookmarkEnd w:id="680"/>
            <w:bookmarkEnd w:id="681"/>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82" w:name="_Toc29624"/>
            <w:bookmarkStart w:id="683" w:name="_Toc9251"/>
            <w:bookmarkStart w:id="684" w:name="_Toc752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0.04L</w:t>
            </w:r>
            <w:bookmarkEnd w:id="682"/>
            <w:bookmarkEnd w:id="683"/>
            <w:bookmarkEnd w:id="684"/>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85" w:name="_Toc12109"/>
            <w:bookmarkStart w:id="686" w:name="_Toc11659"/>
            <w:bookmarkStart w:id="687" w:name="_Toc19505"/>
            <w:r>
              <w:rPr>
                <w:rFonts w:hint="default" w:ascii="Times New Roman" w:hAnsi="Times New Roman" w:eastAsia="宋体" w:cs="Times New Roman"/>
                <w:caps w:val="0"/>
                <w:smallCaps w:val="0"/>
                <w:color w:val="auto"/>
                <w:spacing w:val="0"/>
                <w:w w:val="100"/>
                <w:position w:val="0"/>
                <w:sz w:val="21"/>
                <w:szCs w:val="21"/>
                <w:highlight w:val="none"/>
                <w:lang w:val="zh-CN" w:bidi="zh-CN"/>
              </w:rPr>
              <w:t>镉（</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µg/L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685"/>
            <w:bookmarkEnd w:id="686"/>
            <w:bookmarkEnd w:id="68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88" w:name="_Toc5669"/>
            <w:bookmarkStart w:id="689" w:name="_Toc23564"/>
            <w:bookmarkStart w:id="690" w:name="_Toc24484"/>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688"/>
            <w:bookmarkEnd w:id="689"/>
            <w:bookmarkEnd w:id="69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91" w:name="_Toc7725"/>
            <w:bookmarkStart w:id="692" w:name="_Toc3212"/>
            <w:bookmarkStart w:id="693" w:name="_Toc1301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691"/>
            <w:bookmarkEnd w:id="692"/>
            <w:bookmarkEnd w:id="69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94" w:name="_Toc12913"/>
            <w:bookmarkStart w:id="695" w:name="_Toc2377"/>
            <w:bookmarkStart w:id="696" w:name="_Toc18731"/>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694"/>
            <w:bookmarkEnd w:id="695"/>
            <w:bookmarkEnd w:id="69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697" w:name="_Toc20256"/>
            <w:bookmarkStart w:id="698" w:name="_Toc24518"/>
            <w:bookmarkStart w:id="699" w:name="_Toc6213"/>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697"/>
            <w:bookmarkEnd w:id="698"/>
            <w:bookmarkEnd w:id="69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00" w:name="_Toc12550"/>
            <w:bookmarkStart w:id="701" w:name="_Toc10027"/>
            <w:bookmarkStart w:id="702" w:name="_Toc30697"/>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00"/>
            <w:bookmarkEnd w:id="701"/>
            <w:bookmarkEnd w:id="702"/>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03" w:name="_Toc22671"/>
            <w:bookmarkStart w:id="704" w:name="_Toc9350"/>
            <w:bookmarkStart w:id="705" w:name="_Toc800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03"/>
            <w:bookmarkEnd w:id="704"/>
            <w:bookmarkEnd w:id="705"/>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06" w:name="_Toc11455"/>
            <w:bookmarkStart w:id="707" w:name="_Toc968"/>
            <w:bookmarkStart w:id="708" w:name="_Toc3838"/>
            <w:r>
              <w:rPr>
                <w:rFonts w:hint="default" w:ascii="Times New Roman" w:hAnsi="Times New Roman" w:eastAsia="宋体" w:cs="Times New Roman"/>
                <w:caps w:val="0"/>
                <w:smallCaps w:val="0"/>
                <w:color w:val="auto"/>
                <w:spacing w:val="0"/>
                <w:w w:val="100"/>
                <w:position w:val="0"/>
                <w:sz w:val="21"/>
                <w:szCs w:val="21"/>
                <w:highlight w:val="none"/>
                <w:lang w:val="zh-CN" w:bidi="zh-CN"/>
              </w:rPr>
              <w:t>铅（</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µg/L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706"/>
            <w:bookmarkEnd w:id="707"/>
            <w:bookmarkEnd w:id="70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09" w:name="_Toc22504"/>
            <w:bookmarkStart w:id="710" w:name="_Toc399"/>
            <w:bookmarkStart w:id="711" w:name="_Toc2737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09"/>
            <w:bookmarkEnd w:id="710"/>
            <w:bookmarkEnd w:id="71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12" w:name="_Toc69"/>
            <w:bookmarkStart w:id="713" w:name="_Toc6931"/>
            <w:bookmarkStart w:id="714" w:name="_Toc3197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12"/>
            <w:bookmarkEnd w:id="713"/>
            <w:bookmarkEnd w:id="71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15" w:name="_Toc1219"/>
            <w:bookmarkStart w:id="716" w:name="_Toc20008"/>
            <w:bookmarkStart w:id="717" w:name="_Toc881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15"/>
            <w:bookmarkEnd w:id="716"/>
            <w:bookmarkEnd w:id="71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18" w:name="_Toc22746"/>
            <w:bookmarkStart w:id="719" w:name="_Toc2588"/>
            <w:bookmarkStart w:id="720" w:name="_Toc1109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18"/>
            <w:bookmarkEnd w:id="719"/>
            <w:bookmarkEnd w:id="72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21" w:name="_Toc9110"/>
            <w:bookmarkStart w:id="722" w:name="_Toc16675"/>
            <w:bookmarkStart w:id="723" w:name="_Toc2427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21"/>
            <w:bookmarkEnd w:id="722"/>
            <w:bookmarkEnd w:id="723"/>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24" w:name="_Toc16232"/>
            <w:bookmarkStart w:id="725" w:name="_Toc32472"/>
            <w:bookmarkStart w:id="726" w:name="_Toc2920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2.5</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w:t>
            </w:r>
            <w:bookmarkEnd w:id="724"/>
            <w:bookmarkEnd w:id="725"/>
            <w:bookmarkEnd w:id="726"/>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27" w:name="_Toc6835"/>
            <w:bookmarkStart w:id="728" w:name="_Toc20584"/>
            <w:bookmarkStart w:id="729" w:name="_Toc29436"/>
            <w:r>
              <w:rPr>
                <w:rFonts w:hint="default" w:ascii="Times New Roman" w:hAnsi="Times New Roman" w:eastAsia="宋体" w:cs="Times New Roman"/>
                <w:caps w:val="0"/>
                <w:smallCaps w:val="0"/>
                <w:color w:val="auto"/>
                <w:spacing w:val="0"/>
                <w:w w:val="100"/>
                <w:position w:val="0"/>
                <w:sz w:val="21"/>
                <w:szCs w:val="21"/>
                <w:highlight w:val="none"/>
                <w:lang w:val="zh-CN" w:bidi="zh-CN"/>
              </w:rPr>
              <w:t>六价铬（</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727"/>
            <w:bookmarkEnd w:id="728"/>
            <w:bookmarkEnd w:id="72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30" w:name="_Toc18859"/>
            <w:bookmarkStart w:id="731" w:name="_Toc1549"/>
            <w:bookmarkStart w:id="732" w:name="_Toc7162"/>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0.004L</w:t>
            </w:r>
            <w:bookmarkEnd w:id="730"/>
            <w:bookmarkEnd w:id="731"/>
            <w:bookmarkEnd w:id="73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33" w:name="_Toc12036"/>
            <w:bookmarkStart w:id="734" w:name="_Toc10541"/>
            <w:bookmarkStart w:id="735" w:name="_Toc3096"/>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0.004L</w:t>
            </w:r>
            <w:bookmarkEnd w:id="733"/>
            <w:bookmarkEnd w:id="734"/>
            <w:bookmarkEnd w:id="73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36" w:name="_Toc2816"/>
            <w:bookmarkStart w:id="737" w:name="_Toc14688"/>
            <w:bookmarkStart w:id="738" w:name="_Toc24508"/>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0.005</w:t>
            </w:r>
            <w:bookmarkEnd w:id="736"/>
            <w:bookmarkEnd w:id="737"/>
            <w:bookmarkEnd w:id="73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39" w:name="_Toc27291"/>
            <w:bookmarkStart w:id="740" w:name="_Toc5711"/>
            <w:bookmarkStart w:id="741" w:name="_Toc32141"/>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0.004L</w:t>
            </w:r>
            <w:bookmarkEnd w:id="739"/>
            <w:bookmarkEnd w:id="740"/>
            <w:bookmarkEnd w:id="74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42" w:name="_Toc3026"/>
            <w:bookmarkStart w:id="743" w:name="_Toc18910"/>
            <w:bookmarkStart w:id="744" w:name="_Toc18572"/>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0.004L</w:t>
            </w:r>
            <w:bookmarkEnd w:id="742"/>
            <w:bookmarkEnd w:id="743"/>
            <w:bookmarkEnd w:id="744"/>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45" w:name="_Toc9738"/>
            <w:bookmarkStart w:id="746" w:name="_Toc29216"/>
            <w:bookmarkStart w:id="747" w:name="_Toc25930"/>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0.005</w:t>
            </w:r>
            <w:bookmarkEnd w:id="745"/>
            <w:bookmarkEnd w:id="746"/>
            <w:bookmarkEnd w:id="747"/>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48" w:name="_Toc15900"/>
            <w:bookmarkStart w:id="749" w:name="_Toc22971"/>
            <w:bookmarkStart w:id="750" w:name="_Toc27434"/>
            <w:r>
              <w:rPr>
                <w:rFonts w:hint="default" w:ascii="Times New Roman" w:hAnsi="Times New Roman" w:eastAsia="宋体" w:cs="Times New Roman"/>
                <w:caps w:val="0"/>
                <w:smallCaps w:val="0"/>
                <w:color w:val="auto"/>
                <w:spacing w:val="0"/>
                <w:w w:val="100"/>
                <w:position w:val="0"/>
                <w:sz w:val="21"/>
                <w:szCs w:val="21"/>
                <w:highlight w:val="none"/>
                <w:lang w:val="zh-CN" w:bidi="zh-CN"/>
              </w:rPr>
              <w:t>铁（</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748"/>
            <w:bookmarkEnd w:id="749"/>
            <w:bookmarkEnd w:id="75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51" w:name="_Toc5201"/>
            <w:bookmarkStart w:id="752" w:name="_Toc1839"/>
            <w:bookmarkStart w:id="753" w:name="_Toc430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51"/>
            <w:bookmarkEnd w:id="752"/>
            <w:bookmarkEnd w:id="75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54" w:name="_Toc24307"/>
            <w:bookmarkStart w:id="755" w:name="_Toc10647"/>
            <w:bookmarkStart w:id="756" w:name="_Toc2030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54"/>
            <w:bookmarkEnd w:id="755"/>
            <w:bookmarkEnd w:id="75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57" w:name="_Toc29608"/>
            <w:bookmarkStart w:id="758" w:name="_Toc23992"/>
            <w:bookmarkStart w:id="759" w:name="_Toc1985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57"/>
            <w:bookmarkEnd w:id="758"/>
            <w:bookmarkEnd w:id="75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60" w:name="_Toc19656"/>
            <w:bookmarkStart w:id="761" w:name="_Toc29341"/>
            <w:bookmarkStart w:id="762" w:name="_Toc1148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60"/>
            <w:bookmarkEnd w:id="761"/>
            <w:bookmarkEnd w:id="76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63" w:name="_Toc31990"/>
            <w:bookmarkStart w:id="764" w:name="_Toc10082"/>
            <w:bookmarkStart w:id="765" w:name="_Toc1453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63"/>
            <w:bookmarkEnd w:id="764"/>
            <w:bookmarkEnd w:id="765"/>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66" w:name="_Toc5040"/>
            <w:bookmarkStart w:id="767" w:name="_Toc28289"/>
            <w:bookmarkStart w:id="768" w:name="_Toc3182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0.03L</w:t>
            </w:r>
            <w:bookmarkEnd w:id="766"/>
            <w:bookmarkEnd w:id="767"/>
            <w:bookmarkEnd w:id="768"/>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69" w:name="_Toc12460"/>
            <w:bookmarkStart w:id="770" w:name="_Toc3043"/>
            <w:bookmarkStart w:id="771" w:name="_Toc18185"/>
            <w:r>
              <w:rPr>
                <w:rFonts w:hint="default" w:ascii="Times New Roman" w:hAnsi="Times New Roman" w:eastAsia="宋体" w:cs="Times New Roman"/>
                <w:caps w:val="0"/>
                <w:smallCaps w:val="0"/>
                <w:color w:val="auto"/>
                <w:spacing w:val="0"/>
                <w:w w:val="100"/>
                <w:position w:val="0"/>
                <w:sz w:val="21"/>
                <w:szCs w:val="21"/>
                <w:highlight w:val="none"/>
                <w:lang w:val="zh-CN" w:bidi="zh-CN"/>
              </w:rPr>
              <w:t>锰（</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769"/>
            <w:bookmarkEnd w:id="770"/>
            <w:bookmarkEnd w:id="77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72" w:name="_Toc14812"/>
            <w:bookmarkStart w:id="773" w:name="_Toc25414"/>
            <w:bookmarkStart w:id="774" w:name="_Toc311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0.20</w:t>
            </w:r>
            <w:bookmarkEnd w:id="772"/>
            <w:bookmarkEnd w:id="773"/>
            <w:bookmarkEnd w:id="77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75" w:name="_Toc18729"/>
            <w:bookmarkStart w:id="776" w:name="_Toc28445"/>
            <w:bookmarkStart w:id="777" w:name="_Toc2009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0.23</w:t>
            </w:r>
            <w:bookmarkEnd w:id="775"/>
            <w:bookmarkEnd w:id="776"/>
            <w:bookmarkEnd w:id="77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78" w:name="_Toc30919"/>
            <w:bookmarkStart w:id="779" w:name="_Toc28034"/>
            <w:bookmarkStart w:id="780" w:name="_Toc5033"/>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0.25</w:t>
            </w:r>
            <w:bookmarkEnd w:id="778"/>
            <w:bookmarkEnd w:id="779"/>
            <w:bookmarkEnd w:id="78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81" w:name="_Toc19755"/>
            <w:bookmarkStart w:id="782" w:name="_Toc29905"/>
            <w:bookmarkStart w:id="783" w:name="_Toc557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0.23</w:t>
            </w:r>
            <w:bookmarkEnd w:id="781"/>
            <w:bookmarkEnd w:id="782"/>
            <w:bookmarkEnd w:id="78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84" w:name="_Toc34"/>
            <w:bookmarkStart w:id="785" w:name="_Toc7158"/>
            <w:bookmarkStart w:id="786" w:name="_Toc11736"/>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0.26</w:t>
            </w:r>
            <w:bookmarkEnd w:id="784"/>
            <w:bookmarkEnd w:id="785"/>
            <w:bookmarkEnd w:id="786"/>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87" w:name="_Toc16453"/>
            <w:bookmarkStart w:id="788" w:name="_Toc85"/>
            <w:bookmarkStart w:id="789" w:name="_Toc1495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0.30</w:t>
            </w:r>
            <w:bookmarkEnd w:id="787"/>
            <w:bookmarkEnd w:id="788"/>
            <w:bookmarkEnd w:id="789"/>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90" w:name="_Toc20043"/>
            <w:bookmarkStart w:id="791" w:name="_Toc488"/>
            <w:bookmarkStart w:id="792" w:name="_Toc16672"/>
            <w:r>
              <w:rPr>
                <w:rFonts w:hint="default" w:ascii="Times New Roman" w:hAnsi="Times New Roman" w:eastAsia="宋体" w:cs="Times New Roman"/>
                <w:caps w:val="0"/>
                <w:smallCaps w:val="0"/>
                <w:color w:val="auto"/>
                <w:spacing w:val="0"/>
                <w:w w:val="100"/>
                <w:position w:val="0"/>
                <w:sz w:val="21"/>
                <w:szCs w:val="21"/>
                <w:highlight w:val="none"/>
                <w:lang w:val="zh-CN" w:bidi="zh-CN"/>
              </w:rPr>
              <w:t>硝酸盐（</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790"/>
            <w:bookmarkEnd w:id="791"/>
            <w:bookmarkEnd w:id="79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93" w:name="_Toc6872"/>
            <w:bookmarkStart w:id="794" w:name="_Toc32104"/>
            <w:bookmarkStart w:id="795" w:name="_Toc1447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0.134</w:t>
            </w:r>
            <w:bookmarkEnd w:id="793"/>
            <w:bookmarkEnd w:id="794"/>
            <w:bookmarkEnd w:id="79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96" w:name="_Toc5708"/>
            <w:bookmarkStart w:id="797" w:name="_Toc18448"/>
            <w:bookmarkStart w:id="798" w:name="_Toc1957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0.178</w:t>
            </w:r>
            <w:bookmarkEnd w:id="796"/>
            <w:bookmarkEnd w:id="797"/>
            <w:bookmarkEnd w:id="79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799" w:name="_Toc12922"/>
            <w:bookmarkStart w:id="800" w:name="_Toc3171"/>
            <w:bookmarkStart w:id="801" w:name="_Toc1775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0.145</w:t>
            </w:r>
            <w:bookmarkEnd w:id="799"/>
            <w:bookmarkEnd w:id="800"/>
            <w:bookmarkEnd w:id="80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02" w:name="_Toc28635"/>
            <w:bookmarkStart w:id="803" w:name="_Toc25129"/>
            <w:bookmarkStart w:id="804" w:name="_Toc1223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0.085</w:t>
            </w:r>
            <w:bookmarkEnd w:id="802"/>
            <w:bookmarkEnd w:id="803"/>
            <w:bookmarkEnd w:id="80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05" w:name="_Toc22730"/>
            <w:bookmarkStart w:id="806" w:name="_Toc2107"/>
            <w:bookmarkStart w:id="807" w:name="_Toc282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0.117</w:t>
            </w:r>
            <w:bookmarkEnd w:id="805"/>
            <w:bookmarkEnd w:id="806"/>
            <w:bookmarkEnd w:id="807"/>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08" w:name="_Toc11798"/>
            <w:bookmarkStart w:id="809" w:name="_Toc28993"/>
            <w:bookmarkStart w:id="810" w:name="_Toc922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0.096</w:t>
            </w:r>
            <w:bookmarkEnd w:id="808"/>
            <w:bookmarkEnd w:id="809"/>
            <w:bookmarkEnd w:id="810"/>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11" w:name="_Toc24472"/>
            <w:bookmarkStart w:id="812" w:name="_Toc29296"/>
            <w:bookmarkStart w:id="813" w:name="_Toc11310"/>
            <w:r>
              <w:rPr>
                <w:rFonts w:hint="default" w:ascii="Times New Roman" w:hAnsi="Times New Roman" w:eastAsia="宋体" w:cs="Times New Roman"/>
                <w:caps w:val="0"/>
                <w:smallCaps w:val="0"/>
                <w:color w:val="auto"/>
                <w:spacing w:val="0"/>
                <w:w w:val="100"/>
                <w:position w:val="0"/>
                <w:sz w:val="21"/>
                <w:szCs w:val="21"/>
                <w:highlight w:val="none"/>
                <w:lang w:val="zh-CN" w:bidi="zh-CN"/>
              </w:rPr>
              <w:t>亚硝酸盐（</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811"/>
            <w:bookmarkEnd w:id="812"/>
            <w:bookmarkEnd w:id="81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14" w:name="_Toc4179"/>
            <w:bookmarkStart w:id="815" w:name="_Toc4172"/>
            <w:bookmarkStart w:id="816" w:name="_Toc876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14"/>
            <w:bookmarkEnd w:id="815"/>
            <w:bookmarkEnd w:id="81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17" w:name="_Toc4039"/>
            <w:bookmarkStart w:id="818" w:name="_Toc15509"/>
            <w:bookmarkStart w:id="819" w:name="_Toc2514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17"/>
            <w:bookmarkEnd w:id="818"/>
            <w:bookmarkEnd w:id="81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20" w:name="_Toc3521"/>
            <w:bookmarkStart w:id="821" w:name="_Toc16229"/>
            <w:bookmarkStart w:id="822" w:name="_Toc2594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20"/>
            <w:bookmarkEnd w:id="821"/>
            <w:bookmarkEnd w:id="82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23" w:name="_Toc11065"/>
            <w:bookmarkStart w:id="824" w:name="_Toc17005"/>
            <w:bookmarkStart w:id="825" w:name="_Toc1837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23"/>
            <w:bookmarkEnd w:id="824"/>
            <w:bookmarkEnd w:id="82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26" w:name="_Toc3553"/>
            <w:bookmarkStart w:id="827" w:name="_Toc17427"/>
            <w:bookmarkStart w:id="828" w:name="_Toc1718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26"/>
            <w:bookmarkEnd w:id="827"/>
            <w:bookmarkEnd w:id="828"/>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29" w:name="_Toc17744"/>
            <w:bookmarkStart w:id="830" w:name="_Toc20302"/>
            <w:bookmarkStart w:id="831" w:name="_Toc1092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0.016L</w:t>
            </w:r>
            <w:bookmarkEnd w:id="829"/>
            <w:bookmarkEnd w:id="830"/>
            <w:bookmarkEnd w:id="831"/>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32" w:name="_Toc20623"/>
            <w:bookmarkStart w:id="833" w:name="_Toc11530"/>
            <w:bookmarkStart w:id="834" w:name="_Toc8297"/>
            <w:r>
              <w:rPr>
                <w:rFonts w:hint="default" w:ascii="Times New Roman" w:hAnsi="Times New Roman" w:eastAsia="宋体" w:cs="Times New Roman"/>
                <w:caps w:val="0"/>
                <w:smallCaps w:val="0"/>
                <w:color w:val="auto"/>
                <w:spacing w:val="0"/>
                <w:w w:val="100"/>
                <w:position w:val="0"/>
                <w:sz w:val="21"/>
                <w:szCs w:val="21"/>
                <w:highlight w:val="none"/>
                <w:lang w:val="zh-CN" w:bidi="zh-CN"/>
              </w:rPr>
              <w:t>溶解性总固体（</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832"/>
            <w:bookmarkEnd w:id="833"/>
            <w:bookmarkEnd w:id="83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35" w:name="_Toc27998"/>
            <w:bookmarkStart w:id="836" w:name="_Toc17852"/>
            <w:bookmarkStart w:id="837" w:name="_Toc1932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442</w:t>
            </w:r>
            <w:bookmarkEnd w:id="835"/>
            <w:bookmarkEnd w:id="836"/>
            <w:bookmarkEnd w:id="83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38" w:name="_Toc16254"/>
            <w:bookmarkStart w:id="839" w:name="_Toc5478"/>
            <w:bookmarkStart w:id="840" w:name="_Toc4969"/>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563</w:t>
            </w:r>
            <w:bookmarkEnd w:id="838"/>
            <w:bookmarkEnd w:id="839"/>
            <w:bookmarkEnd w:id="84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41" w:name="_Toc25315"/>
            <w:bookmarkStart w:id="842" w:name="_Toc22108"/>
            <w:bookmarkStart w:id="843" w:name="_Toc277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366</w:t>
            </w:r>
            <w:bookmarkEnd w:id="841"/>
            <w:bookmarkEnd w:id="842"/>
            <w:bookmarkEnd w:id="84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44" w:name="_Toc6859"/>
            <w:bookmarkStart w:id="845" w:name="_Toc12565"/>
            <w:bookmarkStart w:id="846" w:name="_Toc1028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458</w:t>
            </w:r>
            <w:bookmarkEnd w:id="844"/>
            <w:bookmarkEnd w:id="845"/>
            <w:bookmarkEnd w:id="84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47" w:name="_Toc19803"/>
            <w:bookmarkStart w:id="848" w:name="_Toc19537"/>
            <w:bookmarkStart w:id="849" w:name="_Toc573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387</w:t>
            </w:r>
            <w:bookmarkEnd w:id="847"/>
            <w:bookmarkEnd w:id="848"/>
            <w:bookmarkEnd w:id="849"/>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50" w:name="_Toc7252"/>
            <w:bookmarkStart w:id="851" w:name="_Toc32513"/>
            <w:bookmarkStart w:id="852" w:name="_Toc3159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824</w:t>
            </w:r>
            <w:bookmarkEnd w:id="850"/>
            <w:bookmarkEnd w:id="851"/>
            <w:bookmarkEnd w:id="852"/>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53" w:name="_Toc29496"/>
            <w:bookmarkStart w:id="854" w:name="_Toc28054"/>
            <w:bookmarkStart w:id="855" w:name="_Toc30204"/>
            <w:r>
              <w:rPr>
                <w:rFonts w:hint="default" w:ascii="Times New Roman" w:hAnsi="Times New Roman" w:eastAsia="宋体" w:cs="Times New Roman"/>
                <w:caps w:val="0"/>
                <w:smallCaps w:val="0"/>
                <w:color w:val="auto"/>
                <w:spacing w:val="0"/>
                <w:w w:val="100"/>
                <w:position w:val="0"/>
                <w:sz w:val="21"/>
                <w:szCs w:val="21"/>
                <w:highlight w:val="none"/>
                <w:lang w:val="zh-CN" w:bidi="zh-CN"/>
              </w:rPr>
              <w:t>总大肠菌群</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r>
              <w:rPr>
                <w:rFonts w:hint="default" w:ascii="Times New Roman" w:hAnsi="Times New Roman" w:eastAsia="宋体" w:cs="Times New Roman"/>
                <w:caps w:val="0"/>
                <w:smallCaps w:val="0"/>
                <w:color w:val="auto"/>
                <w:spacing w:val="0"/>
                <w:w w:val="100"/>
                <w:position w:val="0"/>
                <w:sz w:val="21"/>
                <w:szCs w:val="21"/>
                <w:highlight w:val="none"/>
                <w:lang w:val="zh-CN" w:bidi="zh-CN"/>
              </w:rPr>
              <w:t>MPN/100mL</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w:t>
            </w:r>
            <w:bookmarkEnd w:id="853"/>
            <w:bookmarkEnd w:id="854"/>
            <w:bookmarkEnd w:id="85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56" w:name="_Toc2951"/>
            <w:bookmarkStart w:id="857" w:name="_Toc8070"/>
            <w:bookmarkStart w:id="858" w:name="_Toc670"/>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56"/>
            <w:bookmarkEnd w:id="857"/>
            <w:bookmarkEnd w:id="85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59" w:name="_Toc21819"/>
            <w:bookmarkStart w:id="860" w:name="_Toc781"/>
            <w:bookmarkStart w:id="861" w:name="_Toc29295"/>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59"/>
            <w:bookmarkEnd w:id="860"/>
            <w:bookmarkEnd w:id="861"/>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62" w:name="_Toc30042"/>
            <w:bookmarkStart w:id="863" w:name="_Toc16941"/>
            <w:bookmarkStart w:id="864" w:name="_Toc25236"/>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62"/>
            <w:bookmarkEnd w:id="863"/>
            <w:bookmarkEnd w:id="864"/>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65" w:name="_Toc7888"/>
            <w:bookmarkStart w:id="866" w:name="_Toc27921"/>
            <w:bookmarkStart w:id="867" w:name="_Toc18888"/>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65"/>
            <w:bookmarkEnd w:id="866"/>
            <w:bookmarkEnd w:id="86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68" w:name="_Toc483"/>
            <w:bookmarkStart w:id="869" w:name="_Toc24005"/>
            <w:bookmarkStart w:id="870" w:name="_Toc11829"/>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68"/>
            <w:bookmarkEnd w:id="869"/>
            <w:bookmarkEnd w:id="870"/>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71" w:name="_Toc30991"/>
            <w:bookmarkStart w:id="872" w:name="_Toc8426"/>
            <w:bookmarkStart w:id="873" w:name="_Toc4730"/>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&lt;</w:t>
            </w:r>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 xml:space="preserve"> 2</w:t>
            </w:r>
            <w:bookmarkEnd w:id="871"/>
            <w:bookmarkEnd w:id="872"/>
            <w:bookmarkEnd w:id="873"/>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74" w:name="_Toc24209"/>
            <w:bookmarkStart w:id="875" w:name="_Toc1264"/>
            <w:bookmarkStart w:id="876" w:name="_Toc16430"/>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细菌</w:t>
            </w:r>
            <w:r>
              <w:rPr>
                <w:rFonts w:hint="default" w:ascii="Times New Roman" w:hAnsi="Times New Roman" w:eastAsia="宋体" w:cs="Times New Roman"/>
                <w:caps w:val="0"/>
                <w:smallCaps w:val="0"/>
                <w:color w:val="auto"/>
                <w:spacing w:val="0"/>
                <w:w w:val="100"/>
                <w:position w:val="0"/>
                <w:sz w:val="21"/>
                <w:szCs w:val="21"/>
                <w:highlight w:val="none"/>
                <w:lang w:val="zh-CN" w:bidi="zh-CN"/>
              </w:rPr>
              <w:t>总数（CFU/mL）</w:t>
            </w:r>
            <w:bookmarkEnd w:id="874"/>
            <w:bookmarkEnd w:id="875"/>
            <w:bookmarkEnd w:id="87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77" w:name="_Toc5132"/>
            <w:bookmarkStart w:id="878" w:name="_Toc15437"/>
            <w:bookmarkStart w:id="879" w:name="_Toc15098"/>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38</w:t>
            </w:r>
            <w:bookmarkEnd w:id="877"/>
            <w:bookmarkEnd w:id="878"/>
            <w:bookmarkEnd w:id="87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80" w:name="_Toc8595"/>
            <w:bookmarkStart w:id="881" w:name="_Toc31149"/>
            <w:bookmarkStart w:id="882" w:name="_Toc1591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49</w:t>
            </w:r>
            <w:bookmarkEnd w:id="880"/>
            <w:bookmarkEnd w:id="881"/>
            <w:bookmarkEnd w:id="882"/>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83" w:name="_Toc21951"/>
            <w:bookmarkStart w:id="884" w:name="_Toc31903"/>
            <w:bookmarkStart w:id="885" w:name="_Toc165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33</w:t>
            </w:r>
            <w:bookmarkEnd w:id="883"/>
            <w:bookmarkEnd w:id="884"/>
            <w:bookmarkEnd w:id="885"/>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86" w:name="_Toc21047"/>
            <w:bookmarkStart w:id="887" w:name="_Toc30627"/>
            <w:bookmarkStart w:id="888" w:name="_Toc15020"/>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28</w:t>
            </w:r>
            <w:bookmarkEnd w:id="886"/>
            <w:bookmarkEnd w:id="887"/>
            <w:bookmarkEnd w:id="888"/>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89" w:name="_Toc4188"/>
            <w:bookmarkStart w:id="890" w:name="_Toc22428"/>
            <w:bookmarkStart w:id="891" w:name="_Toc213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22</w:t>
            </w:r>
            <w:bookmarkEnd w:id="889"/>
            <w:bookmarkEnd w:id="890"/>
            <w:bookmarkEnd w:id="891"/>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92" w:name="_Toc2756"/>
            <w:bookmarkStart w:id="893" w:name="_Toc19397"/>
            <w:bookmarkStart w:id="894" w:name="_Toc10355"/>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53</w:t>
            </w:r>
            <w:bookmarkEnd w:id="892"/>
            <w:bookmarkEnd w:id="893"/>
            <w:bookmarkEnd w:id="894"/>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28" w:type="dxa"/>
            <w:bottom w:w="0" w:type="dxa"/>
            <w:right w:w="28" w:type="dxa"/>
          </w:tblCellMar>
        </w:tblPrEx>
        <w:trPr>
          <w:trHeight w:val="313" w:hRule="atLeast"/>
        </w:trPr>
        <w:tc>
          <w:tcPr>
            <w:tcW w:w="14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95" w:name="_Toc24216"/>
            <w:bookmarkStart w:id="896" w:name="_Toc30931"/>
            <w:bookmarkStart w:id="897" w:name="_Toc4750"/>
            <w:r>
              <w:rPr>
                <w:rFonts w:hint="eastAsia" w:ascii="Times New Roman" w:hAnsi="Times New Roman" w:eastAsia="宋体" w:cs="Times New Roman"/>
                <w:caps w:val="0"/>
                <w:smallCaps w:val="0"/>
                <w:color w:val="auto"/>
                <w:spacing w:val="0"/>
                <w:w w:val="100"/>
                <w:position w:val="0"/>
                <w:sz w:val="21"/>
                <w:szCs w:val="21"/>
                <w:highlight w:val="none"/>
                <w:lang w:val="zh-CN" w:eastAsia="zh-CN" w:bidi="zh-CN"/>
              </w:rPr>
              <w:t>石油类</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mg/L</w:t>
            </w:r>
            <w:r>
              <w:rPr>
                <w:rFonts w:hint="default" w:ascii="Times New Roman" w:hAnsi="Times New Roman" w:eastAsia="宋体" w:cs="Times New Roman"/>
                <w:caps w:val="0"/>
                <w:smallCaps w:val="0"/>
                <w:color w:val="auto"/>
                <w:spacing w:val="0"/>
                <w:w w:val="100"/>
                <w:position w:val="0"/>
                <w:sz w:val="21"/>
                <w:szCs w:val="21"/>
                <w:highlight w:val="none"/>
                <w:lang w:val="zh-CN" w:bidi="zh-CN"/>
              </w:rPr>
              <w:t>）</w:t>
            </w:r>
            <w:bookmarkEnd w:id="895"/>
            <w:bookmarkEnd w:id="896"/>
            <w:bookmarkEnd w:id="897"/>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898" w:name="_Toc25461"/>
            <w:bookmarkStart w:id="899" w:name="_Toc2005"/>
            <w:bookmarkStart w:id="900" w:name="_Toc444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898"/>
            <w:bookmarkEnd w:id="899"/>
            <w:bookmarkEnd w:id="900"/>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901" w:name="_Toc1619"/>
            <w:bookmarkStart w:id="902" w:name="_Toc27919"/>
            <w:bookmarkStart w:id="903" w:name="_Toc19434"/>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901"/>
            <w:bookmarkEnd w:id="902"/>
            <w:bookmarkEnd w:id="903"/>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904" w:name="_Toc12762"/>
            <w:bookmarkStart w:id="905" w:name="_Toc27745"/>
            <w:bookmarkStart w:id="906" w:name="_Toc1852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904"/>
            <w:bookmarkEnd w:id="905"/>
            <w:bookmarkEnd w:id="906"/>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907" w:name="_Toc136"/>
            <w:bookmarkStart w:id="908" w:name="_Toc32143"/>
            <w:bookmarkStart w:id="909" w:name="_Toc18151"/>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907"/>
            <w:bookmarkEnd w:id="908"/>
            <w:bookmarkEnd w:id="909"/>
          </w:p>
        </w:tc>
        <w:tc>
          <w:tcPr>
            <w:tcW w:w="1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910" w:name="_Toc17816"/>
            <w:bookmarkStart w:id="911" w:name="_Toc29082"/>
            <w:bookmarkStart w:id="912" w:name="_Toc20362"/>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910"/>
            <w:bookmarkEnd w:id="911"/>
            <w:bookmarkEnd w:id="912"/>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bookmarkStart w:id="913" w:name="_Toc11074"/>
            <w:bookmarkStart w:id="914" w:name="_Toc6039"/>
            <w:bookmarkStart w:id="915" w:name="_Toc6777"/>
            <w:r>
              <w:rPr>
                <w:rFonts w:hint="eastAsia" w:ascii="Times New Roman" w:hAnsi="Times New Roman" w:eastAsia="宋体" w:cs="Times New Roman"/>
                <w:caps w:val="0"/>
                <w:smallCaps w:val="0"/>
                <w:color w:val="auto"/>
                <w:spacing w:val="0"/>
                <w:w w:val="100"/>
                <w:position w:val="0"/>
                <w:sz w:val="21"/>
                <w:szCs w:val="21"/>
                <w:highlight w:val="none"/>
                <w:lang w:val="en-US" w:eastAsia="zh-CN" w:bidi="zh-CN"/>
              </w:rPr>
              <w:t>0.01L</w:t>
            </w:r>
            <w:bookmarkEnd w:id="913"/>
            <w:bookmarkEnd w:id="914"/>
            <w:bookmarkEnd w:id="915"/>
          </w:p>
        </w:tc>
        <w:tc>
          <w:tcPr>
            <w:tcW w:w="15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before="0" w:after="0" w:line="360" w:lineRule="exact"/>
              <w:ind w:left="0" w:righ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pPr>
            <w:r>
              <w:rPr>
                <w:rFonts w:hint="default" w:ascii="Times New Roman" w:hAnsi="Times New Roman" w:eastAsia="宋体" w:cs="Times New Roman"/>
                <w:caps w:val="0"/>
                <w:smallCaps w:val="0"/>
                <w:color w:val="auto"/>
                <w:spacing w:val="0"/>
                <w:w w:val="100"/>
                <w:position w:val="0"/>
                <w:sz w:val="21"/>
                <w:szCs w:val="21"/>
                <w:highlight w:val="none"/>
                <w:lang w:val="en-US" w:eastAsia="zh-CN" w:bidi="zh-CN"/>
              </w:rPr>
              <w:t>《地表水环境质量标准》GB3838-2002表1中的Ⅲ类标准0.05</w:t>
            </w:r>
          </w:p>
        </w:tc>
      </w:tr>
    </w:tbl>
    <w:p>
      <w:pPr>
        <w:keepNext/>
        <w:keepLines/>
        <w:numPr>
          <w:ilvl w:val="0"/>
          <w:numId w:val="0"/>
        </w:numPr>
        <w:autoSpaceDE/>
        <w:autoSpaceDN/>
        <w:bidi w:val="0"/>
        <w:spacing w:before="0" w:after="0" w:line="500" w:lineRule="exact"/>
        <w:ind w:right="0" w:firstLine="0" w:firstLineChars="0"/>
        <w:jc w:val="both"/>
        <w:outlineLvl w:val="9"/>
        <w:rPr>
          <w:rFonts w:hint="default" w:ascii="Times New Roman" w:hAnsi="Times New Roman" w:eastAsia="宋体" w:cs="Times New Roman"/>
          <w:b/>
          <w:bCs/>
          <w:color w:val="auto"/>
          <w:szCs w:val="20"/>
          <w:highlight w:val="none"/>
          <w:lang w:val="en-US" w:eastAsia="zh-CN" w:bidi="ar-SA"/>
        </w:rPr>
      </w:pPr>
      <w:r>
        <w:rPr>
          <w:rFonts w:hint="default" w:ascii="Times New Roman" w:hAnsi="Times New Roman" w:eastAsia="宋体" w:cs="Times New Roman"/>
          <w:b/>
          <w:bCs/>
          <w:color w:val="auto"/>
          <w:szCs w:val="20"/>
          <w:highlight w:val="none"/>
          <w:lang w:val="en-US" w:eastAsia="zh-CN" w:bidi="ar-SA"/>
        </w:rPr>
        <w:t>4.5.1.</w:t>
      </w:r>
      <w:r>
        <w:rPr>
          <w:rFonts w:hint="eastAsia" w:ascii="Times New Roman" w:hAnsi="Times New Roman" w:eastAsia="宋体" w:cs="Times New Roman"/>
          <w:b/>
          <w:bCs/>
          <w:color w:val="auto"/>
          <w:szCs w:val="20"/>
          <w:highlight w:val="none"/>
          <w:lang w:val="en-US" w:eastAsia="zh-CN" w:bidi="ar-SA"/>
        </w:rPr>
        <w:t>3</w:t>
      </w:r>
      <w:r>
        <w:rPr>
          <w:rFonts w:hint="default" w:ascii="Times New Roman" w:hAnsi="Times New Roman" w:eastAsia="宋体" w:cs="Times New Roman"/>
          <w:b/>
          <w:bCs/>
          <w:color w:val="auto"/>
          <w:szCs w:val="20"/>
          <w:highlight w:val="none"/>
          <w:lang w:val="en-US" w:eastAsia="zh-CN" w:bidi="ar-SA"/>
        </w:rPr>
        <w:t>评价标准及方法</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1）评价标准</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采用《地下水质量标准》</w:t>
      </w: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GB/T14848-2017）中</w:t>
      </w:r>
      <w:r>
        <w:rPr>
          <w:rFonts w:hint="default" w:ascii="Times New Roman" w:hAnsi="Times New Roman" w:eastAsia="宋体" w:cs="Times New Roman"/>
          <w:color w:val="auto"/>
          <w:sz w:val="24"/>
          <w:szCs w:val="22"/>
          <w:highlight w:val="none"/>
          <w:lang w:val="zh-CN" w:eastAsia="zh-CN" w:bidi="zh-CN"/>
        </w:rPr>
        <w:fldChar w:fldCharType="begin"/>
      </w:r>
      <w:r>
        <w:rPr>
          <w:rFonts w:hint="default" w:ascii="Times New Roman" w:hAnsi="Times New Roman" w:eastAsia="宋体" w:cs="Times New Roman"/>
          <w:color w:val="auto"/>
          <w:sz w:val="24"/>
          <w:szCs w:val="22"/>
          <w:highlight w:val="none"/>
          <w:lang w:val="zh-CN" w:eastAsia="zh-CN" w:bidi="zh-CN"/>
        </w:rPr>
        <w:instrText xml:space="preserve"> = 3 \* ROMAN \* MERGEFORMAT </w:instrText>
      </w:r>
      <w:r>
        <w:rPr>
          <w:rFonts w:hint="default" w:ascii="Times New Roman" w:hAnsi="Times New Roman" w:eastAsia="宋体" w:cs="Times New Roman"/>
          <w:color w:val="auto"/>
          <w:sz w:val="24"/>
          <w:szCs w:val="22"/>
          <w:highlight w:val="none"/>
          <w:lang w:val="zh-CN" w:eastAsia="zh-CN" w:bidi="zh-CN"/>
        </w:rPr>
        <w:fldChar w:fldCharType="separate"/>
      </w:r>
      <w:r>
        <w:rPr>
          <w:rFonts w:hint="default" w:ascii="Times New Roman" w:hAnsi="Times New Roman" w:eastAsia="宋体" w:cs="Times New Roman"/>
          <w:color w:val="auto"/>
          <w:sz w:val="24"/>
          <w:szCs w:val="22"/>
          <w:highlight w:val="none"/>
          <w:lang w:val="zh-CN" w:eastAsia="zh-CN" w:bidi="zh-CN"/>
        </w:rPr>
        <w:t>III</w:t>
      </w:r>
      <w:r>
        <w:rPr>
          <w:rFonts w:hint="default" w:ascii="Times New Roman" w:hAnsi="Times New Roman" w:eastAsia="宋体" w:cs="Times New Roman"/>
          <w:color w:val="auto"/>
          <w:sz w:val="24"/>
          <w:szCs w:val="22"/>
          <w:highlight w:val="none"/>
          <w:lang w:val="zh-CN" w:eastAsia="zh-CN" w:bidi="zh-CN"/>
        </w:rPr>
        <w:fldChar w:fldCharType="end"/>
      </w:r>
      <w:r>
        <w:rPr>
          <w:rFonts w:hint="default" w:ascii="Times New Roman" w:hAnsi="Times New Roman" w:eastAsia="宋体" w:cs="Times New Roman"/>
          <w:color w:val="auto"/>
          <w:sz w:val="24"/>
          <w:szCs w:val="22"/>
          <w:highlight w:val="none"/>
          <w:lang w:val="zh-CN" w:eastAsia="zh-CN" w:bidi="zh-CN"/>
        </w:rPr>
        <w:t>类标准，石油类参照《地表水环境质量标准》</w:t>
      </w: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GB3838-2002）中的</w:t>
      </w:r>
      <w:r>
        <w:rPr>
          <w:rFonts w:hint="default" w:ascii="Times New Roman" w:hAnsi="Times New Roman" w:eastAsia="宋体" w:cs="Times New Roman"/>
          <w:color w:val="auto"/>
          <w:sz w:val="24"/>
          <w:szCs w:val="22"/>
          <w:highlight w:val="none"/>
          <w:lang w:val="en-US" w:eastAsia="zh-CN" w:bidi="zh-CN"/>
        </w:rPr>
        <w:t>Ⅲ</w:t>
      </w:r>
      <w:r>
        <w:rPr>
          <w:rFonts w:hint="default" w:ascii="Times New Roman" w:hAnsi="Times New Roman" w:eastAsia="宋体" w:cs="Times New Roman"/>
          <w:color w:val="auto"/>
          <w:sz w:val="24"/>
          <w:szCs w:val="22"/>
          <w:highlight w:val="none"/>
          <w:lang w:val="zh-CN" w:eastAsia="zh-CN" w:bidi="zh-CN"/>
        </w:rPr>
        <w:t>类标准执行≤0.05mg/L。</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2）评价方法</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采用单因子标准指数法对地下水水质现状监测结果进行评价，评价模式如下：</w:t>
      </w:r>
    </w:p>
    <w:p>
      <w:pPr>
        <w:keepNext w:val="0"/>
        <w:keepLines w:val="0"/>
        <w:pageBreakBefore w:val="0"/>
        <w:widowControl/>
        <w:kinsoku/>
        <w:wordWrap/>
        <w:overflowPunct/>
        <w:topLinePunct w:val="0"/>
        <w:autoSpaceDE/>
        <w:autoSpaceDN/>
        <w:bidi w:val="0"/>
        <w:adjustRightInd/>
        <w:snapToGrid/>
        <w:spacing w:line="360" w:lineRule="auto"/>
        <w:ind w:firstLine="3318" w:firstLineChars="1400"/>
        <w:textAlignment w:val="auto"/>
        <w:rPr>
          <w:rFonts w:hint="default" w:ascii="Times New Roman" w:hAnsi="Times New Roman" w:eastAsia="宋体" w:cs="Times New Roman"/>
          <w:caps w:val="0"/>
          <w:smallCaps w:val="0"/>
          <w:color w:val="auto"/>
          <w:spacing w:val="0"/>
          <w:w w:val="99"/>
          <w:position w:val="0"/>
          <w:highlight w:val="none"/>
        </w:rPr>
      </w:pPr>
      <w:r>
        <w:rPr>
          <w:rFonts w:hint="default" w:ascii="Times New Roman" w:hAnsi="Times New Roman" w:eastAsia="宋体" w:cs="Times New Roman"/>
          <w:caps w:val="0"/>
          <w:smallCaps w:val="0"/>
          <w:color w:val="auto"/>
          <w:spacing w:val="0"/>
          <w:w w:val="99"/>
          <w:position w:val="0"/>
          <w:highlight w:val="none"/>
        </w:rPr>
        <w:drawing>
          <wp:inline distT="0" distB="0" distL="114300" distR="114300">
            <wp:extent cx="762000" cy="333375"/>
            <wp:effectExtent l="0" t="0" r="0" b="889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43"/>
                    <a:stretch>
                      <a:fillRect/>
                    </a:stretch>
                  </pic:blipFill>
                  <pic:spPr>
                    <a:xfrm>
                      <a:off x="0" y="0"/>
                      <a:ext cx="762000" cy="333375"/>
                    </a:xfrm>
                    <a:prstGeom prst="rect">
                      <a:avLst/>
                    </a:prstGeom>
                    <a:noFill/>
                    <a:ln>
                      <a:noFill/>
                    </a:ln>
                  </pic:spPr>
                </pic:pic>
              </a:graphicData>
            </a:graphic>
          </wp:inline>
        </w:drawing>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式中：S</w:t>
      </w:r>
      <w:r>
        <w:rPr>
          <w:rFonts w:hint="default" w:ascii="Times New Roman" w:hAnsi="Times New Roman" w:eastAsia="宋体" w:cs="Times New Roman"/>
          <w:color w:val="auto"/>
          <w:sz w:val="24"/>
          <w:szCs w:val="22"/>
          <w:highlight w:val="none"/>
          <w:vertAlign w:val="subscript"/>
          <w:lang w:val="zh-CN" w:eastAsia="zh-CN" w:bidi="zh-CN"/>
        </w:rPr>
        <w:t>i</w:t>
      </w:r>
      <w:r>
        <w:rPr>
          <w:rFonts w:hint="eastAsia" w:ascii="Times New Roman" w:hAnsi="Times New Roman" w:eastAsia="宋体" w:cs="Times New Roman"/>
          <w:color w:val="auto"/>
          <w:sz w:val="24"/>
          <w:szCs w:val="22"/>
          <w:highlight w:val="none"/>
          <w:vertAlign w:val="subscript"/>
          <w:lang w:val="zh-CN" w:eastAsia="zh-CN" w:bidi="zh-CN"/>
        </w:rPr>
        <w:t>，</w:t>
      </w:r>
      <w:r>
        <w:rPr>
          <w:rFonts w:hint="default" w:ascii="Times New Roman" w:hAnsi="Times New Roman" w:eastAsia="宋体" w:cs="Times New Roman"/>
          <w:color w:val="auto"/>
          <w:sz w:val="24"/>
          <w:szCs w:val="22"/>
          <w:highlight w:val="none"/>
          <w:vertAlign w:val="subscript"/>
          <w:lang w:val="zh-CN" w:eastAsia="zh-CN" w:bidi="zh-CN"/>
        </w:rPr>
        <w:t>j</w:t>
      </w:r>
      <w:r>
        <w:rPr>
          <w:rFonts w:hint="default" w:ascii="Times New Roman" w:hAnsi="Times New Roman" w:eastAsia="宋体" w:cs="Times New Roman"/>
          <w:color w:val="auto"/>
          <w:sz w:val="24"/>
          <w:szCs w:val="22"/>
          <w:highlight w:val="none"/>
          <w:lang w:val="zh-CN" w:eastAsia="zh-CN" w:bidi="zh-CN"/>
        </w:rPr>
        <w:t>——水质单因子i在第j点的标准指数；</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C</w:t>
      </w:r>
      <w:r>
        <w:rPr>
          <w:rFonts w:hint="default" w:ascii="Times New Roman" w:hAnsi="Times New Roman" w:eastAsia="宋体" w:cs="Times New Roman"/>
          <w:color w:val="auto"/>
          <w:sz w:val="24"/>
          <w:szCs w:val="22"/>
          <w:highlight w:val="none"/>
          <w:vertAlign w:val="subscript"/>
          <w:lang w:val="zh-CN" w:eastAsia="zh-CN" w:bidi="zh-CN"/>
        </w:rPr>
        <w:t>ij</w:t>
      </w:r>
      <w:r>
        <w:rPr>
          <w:rFonts w:hint="default" w:ascii="Times New Roman" w:hAnsi="Times New Roman" w:eastAsia="宋体" w:cs="Times New Roman"/>
          <w:color w:val="auto"/>
          <w:sz w:val="24"/>
          <w:szCs w:val="22"/>
          <w:highlight w:val="none"/>
          <w:lang w:val="zh-CN" w:eastAsia="zh-CN" w:bidi="zh-CN"/>
        </w:rPr>
        <w:t>——水质评价因子i在第j点的监测值，mg/L；</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C</w:t>
      </w:r>
      <w:r>
        <w:rPr>
          <w:rFonts w:hint="default" w:ascii="Times New Roman" w:hAnsi="Times New Roman" w:eastAsia="宋体" w:cs="Times New Roman"/>
          <w:color w:val="auto"/>
          <w:sz w:val="24"/>
          <w:szCs w:val="22"/>
          <w:highlight w:val="none"/>
          <w:vertAlign w:val="subscript"/>
          <w:lang w:val="zh-CN" w:eastAsia="zh-CN" w:bidi="zh-CN"/>
        </w:rPr>
        <w:t>si</w:t>
      </w:r>
      <w:r>
        <w:rPr>
          <w:rFonts w:hint="default" w:ascii="Times New Roman" w:hAnsi="Times New Roman" w:eastAsia="宋体" w:cs="Times New Roman"/>
          <w:color w:val="auto"/>
          <w:sz w:val="24"/>
          <w:szCs w:val="22"/>
          <w:highlight w:val="none"/>
          <w:lang w:val="zh-CN" w:eastAsia="zh-CN" w:bidi="zh-CN"/>
        </w:rPr>
        <w:t>——i因子的评价标准，mg/L。</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pH的标准指数公式：</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pH</w:t>
      </w:r>
      <w:r>
        <w:rPr>
          <w:rFonts w:hint="default" w:ascii="Times New Roman" w:hAnsi="Times New Roman" w:eastAsia="宋体" w:cs="Times New Roman"/>
          <w:color w:val="auto"/>
          <w:sz w:val="24"/>
          <w:szCs w:val="22"/>
          <w:highlight w:val="none"/>
          <w:vertAlign w:val="subscript"/>
          <w:lang w:val="zh-CN" w:eastAsia="zh-CN" w:bidi="zh-CN"/>
        </w:rPr>
        <w:t>j</w:t>
      </w:r>
      <w:r>
        <w:rPr>
          <w:rFonts w:hint="default" w:ascii="Times New Roman" w:hAnsi="Times New Roman" w:eastAsia="宋体" w:cs="Times New Roman"/>
          <w:color w:val="auto"/>
          <w:sz w:val="24"/>
          <w:szCs w:val="22"/>
          <w:highlight w:val="none"/>
          <w:lang w:val="zh-CN" w:eastAsia="zh-CN" w:bidi="zh-CN"/>
        </w:rPr>
        <w:t>≤7.0时</w:t>
      </w:r>
    </w:p>
    <w:p>
      <w:pPr>
        <w:spacing w:line="360" w:lineRule="auto"/>
        <w:ind w:firstLine="2488" w:firstLineChars="1050"/>
        <w:rPr>
          <w:rFonts w:hint="default" w:ascii="Times New Roman" w:hAnsi="Times New Roman" w:eastAsia="宋体" w:cs="Times New Roman"/>
          <w:caps w:val="0"/>
          <w:smallCaps w:val="0"/>
          <w:color w:val="auto"/>
          <w:spacing w:val="0"/>
          <w:w w:val="99"/>
          <w:position w:val="0"/>
          <w:highlight w:val="none"/>
        </w:rPr>
      </w:pPr>
      <w:r>
        <w:rPr>
          <w:rFonts w:hint="default" w:ascii="Times New Roman" w:hAnsi="Times New Roman" w:eastAsia="宋体" w:cs="Times New Roman"/>
          <w:caps w:val="0"/>
          <w:smallCaps w:val="0"/>
          <w:color w:val="auto"/>
          <w:spacing w:val="0"/>
          <w:w w:val="99"/>
          <w:position w:val="0"/>
          <w:highlight w:val="none"/>
        </w:rPr>
        <w:drawing>
          <wp:inline distT="0" distB="0" distL="114300" distR="114300">
            <wp:extent cx="1238250" cy="447675"/>
            <wp:effectExtent l="0" t="0" r="0" b="889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44"/>
                    <a:stretch>
                      <a:fillRect/>
                    </a:stretch>
                  </pic:blipFill>
                  <pic:spPr>
                    <a:xfrm>
                      <a:off x="0" y="0"/>
                      <a:ext cx="1238250" cy="447675"/>
                    </a:xfrm>
                    <a:prstGeom prst="rect">
                      <a:avLst/>
                    </a:prstGeom>
                    <a:noFill/>
                    <a:ln>
                      <a:noFill/>
                    </a:ln>
                  </pic:spPr>
                </pic:pic>
              </a:graphicData>
            </a:graphic>
          </wp:inline>
        </w:drawing>
      </w:r>
    </w:p>
    <w:p>
      <w:pPr>
        <w:bidi w:val="0"/>
        <w:rPr>
          <w:rFonts w:hint="default"/>
          <w:color w:val="auto"/>
          <w:highlight w:val="none"/>
        </w:rPr>
      </w:pPr>
      <w:r>
        <w:rPr>
          <w:rFonts w:hint="default"/>
          <w:color w:val="auto"/>
          <w:highlight w:val="none"/>
        </w:rPr>
        <w:t>pH</w:t>
      </w:r>
      <w:r>
        <w:rPr>
          <w:rFonts w:hint="default"/>
          <w:color w:val="auto"/>
          <w:highlight w:val="none"/>
          <w:vertAlign w:val="subscript"/>
        </w:rPr>
        <w:t>j</w:t>
      </w:r>
      <w:r>
        <w:rPr>
          <w:rFonts w:hint="default"/>
          <w:color w:val="auto"/>
          <w:highlight w:val="none"/>
        </w:rPr>
        <w:t>＞7.0时</w:t>
      </w:r>
    </w:p>
    <w:p>
      <w:pPr>
        <w:spacing w:line="360" w:lineRule="auto"/>
        <w:ind w:firstLine="2488" w:firstLineChars="1050"/>
        <w:rPr>
          <w:rFonts w:hint="default" w:ascii="Times New Roman" w:hAnsi="Times New Roman" w:eastAsia="宋体" w:cs="Times New Roman"/>
          <w:caps w:val="0"/>
          <w:smallCaps w:val="0"/>
          <w:color w:val="auto"/>
          <w:spacing w:val="0"/>
          <w:w w:val="99"/>
          <w:position w:val="0"/>
          <w:highlight w:val="none"/>
        </w:rPr>
      </w:pPr>
      <w:r>
        <w:rPr>
          <w:rFonts w:hint="default" w:ascii="Times New Roman" w:hAnsi="Times New Roman" w:eastAsia="宋体" w:cs="Times New Roman"/>
          <w:caps w:val="0"/>
          <w:smallCaps w:val="0"/>
          <w:color w:val="auto"/>
          <w:spacing w:val="0"/>
          <w:w w:val="99"/>
          <w:position w:val="0"/>
          <w:highlight w:val="none"/>
        </w:rPr>
        <w:drawing>
          <wp:inline distT="0" distB="0" distL="114300" distR="114300">
            <wp:extent cx="1266825" cy="457200"/>
            <wp:effectExtent l="0" t="0" r="9525" b="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45"/>
                    <a:stretch>
                      <a:fillRect/>
                    </a:stretch>
                  </pic:blipFill>
                  <pic:spPr>
                    <a:xfrm>
                      <a:off x="0" y="0"/>
                      <a:ext cx="1266825" cy="457200"/>
                    </a:xfrm>
                    <a:prstGeom prst="rect">
                      <a:avLst/>
                    </a:prstGeom>
                    <a:noFill/>
                    <a:ln>
                      <a:noFill/>
                    </a:ln>
                  </pic:spPr>
                </pic:pic>
              </a:graphicData>
            </a:graphic>
          </wp:inline>
        </w:drawing>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式中：S</w:t>
      </w:r>
      <w:r>
        <w:rPr>
          <w:rFonts w:hint="default" w:ascii="Times New Roman" w:hAnsi="Times New Roman" w:eastAsia="宋体" w:cs="Times New Roman"/>
          <w:color w:val="auto"/>
          <w:sz w:val="24"/>
          <w:szCs w:val="22"/>
          <w:highlight w:val="none"/>
          <w:vertAlign w:val="subscript"/>
          <w:lang w:val="zh-CN" w:eastAsia="zh-CN" w:bidi="zh-CN"/>
        </w:rPr>
        <w:t>pHj</w:t>
      </w:r>
      <w:r>
        <w:rPr>
          <w:rFonts w:hint="default" w:ascii="Times New Roman" w:hAnsi="Times New Roman" w:eastAsia="宋体" w:cs="Times New Roman"/>
          <w:color w:val="auto"/>
          <w:sz w:val="24"/>
          <w:szCs w:val="22"/>
          <w:highlight w:val="none"/>
          <w:lang w:val="zh-CN" w:eastAsia="zh-CN" w:bidi="zh-CN"/>
        </w:rPr>
        <w:t>——pH值的单项指数；</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p</w:t>
      </w:r>
      <w:r>
        <w:rPr>
          <w:rFonts w:hint="default" w:ascii="Times New Roman" w:hAnsi="Times New Roman" w:eastAsia="宋体" w:cs="Times New Roman"/>
          <w:color w:val="auto"/>
          <w:sz w:val="24"/>
          <w:szCs w:val="22"/>
          <w:highlight w:val="none"/>
          <w:vertAlign w:val="baseline"/>
          <w:lang w:val="zh-CN" w:eastAsia="zh-CN" w:bidi="zh-CN"/>
        </w:rPr>
        <w:t>H</w:t>
      </w:r>
      <w:r>
        <w:rPr>
          <w:rFonts w:hint="default" w:ascii="Times New Roman" w:hAnsi="Times New Roman" w:eastAsia="宋体" w:cs="Times New Roman"/>
          <w:color w:val="auto"/>
          <w:sz w:val="24"/>
          <w:szCs w:val="22"/>
          <w:highlight w:val="none"/>
          <w:vertAlign w:val="subscript"/>
          <w:lang w:val="zh-CN" w:eastAsia="zh-CN" w:bidi="zh-CN"/>
        </w:rPr>
        <w:t>j</w:t>
      </w:r>
      <w:r>
        <w:rPr>
          <w:rFonts w:hint="default" w:ascii="Times New Roman" w:hAnsi="Times New Roman" w:eastAsia="宋体" w:cs="Times New Roman"/>
          <w:color w:val="auto"/>
          <w:sz w:val="24"/>
          <w:szCs w:val="22"/>
          <w:highlight w:val="none"/>
          <w:lang w:val="zh-CN" w:eastAsia="zh-CN" w:bidi="zh-CN"/>
        </w:rPr>
        <w:t>——j点pH值监测值；</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p</w:t>
      </w:r>
      <w:r>
        <w:rPr>
          <w:rFonts w:hint="default" w:ascii="Times New Roman" w:hAnsi="Times New Roman" w:eastAsia="宋体" w:cs="Times New Roman"/>
          <w:color w:val="auto"/>
          <w:sz w:val="24"/>
          <w:szCs w:val="22"/>
          <w:highlight w:val="none"/>
          <w:vertAlign w:val="subscript"/>
          <w:lang w:val="zh-CN" w:eastAsia="zh-CN" w:bidi="zh-CN"/>
        </w:rPr>
        <w:t>Hsu</w:t>
      </w:r>
      <w:r>
        <w:rPr>
          <w:rFonts w:hint="default" w:ascii="Times New Roman" w:hAnsi="Times New Roman" w:eastAsia="宋体" w:cs="Times New Roman"/>
          <w:color w:val="auto"/>
          <w:sz w:val="24"/>
          <w:szCs w:val="22"/>
          <w:highlight w:val="none"/>
          <w:lang w:val="zh-CN" w:eastAsia="zh-CN" w:bidi="zh-CN"/>
        </w:rPr>
        <w:t>——水质标准中pH值上限；</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pHsd——水质标准中pH值下限。</w:t>
      </w:r>
    </w:p>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当单因子标准指数＞1时，表示该水质参数所表征的污染物已满足不了标准要求，水体已受到污染；反之，则满足标准要求。</w:t>
      </w:r>
    </w:p>
    <w:p>
      <w:pPr>
        <w:bidi w:val="0"/>
        <w:rPr>
          <w:rFonts w:hint="default"/>
          <w:color w:val="auto"/>
          <w:highlight w:val="none"/>
        </w:rPr>
      </w:pPr>
      <w:r>
        <w:rPr>
          <w:rFonts w:hint="eastAsia"/>
          <w:color w:val="auto"/>
          <w:highlight w:val="none"/>
          <w:lang w:eastAsia="zh-CN"/>
        </w:rPr>
        <w:t>（</w:t>
      </w:r>
      <w:r>
        <w:rPr>
          <w:rFonts w:hint="default"/>
          <w:color w:val="auto"/>
          <w:highlight w:val="none"/>
        </w:rPr>
        <w:t>3）单因子标准指数</w:t>
      </w:r>
    </w:p>
    <w:p>
      <w:pPr>
        <w:bidi w:val="0"/>
        <w:rPr>
          <w:rFonts w:hint="default"/>
          <w:color w:val="auto"/>
          <w:highlight w:val="none"/>
        </w:rPr>
      </w:pPr>
      <w:r>
        <w:rPr>
          <w:rFonts w:hint="default"/>
          <w:color w:val="auto"/>
          <w:highlight w:val="none"/>
        </w:rPr>
        <w:t>地下水单因子标准指数计算结果见表</w:t>
      </w:r>
      <w:r>
        <w:rPr>
          <w:rFonts w:hint="eastAsia"/>
          <w:color w:val="auto"/>
          <w:highlight w:val="none"/>
          <w:lang w:val="en-US" w:eastAsia="zh-CN"/>
        </w:rPr>
        <w:t>4.5.1.3-1</w:t>
      </w:r>
      <w:r>
        <w:rPr>
          <w:rFonts w:hint="default"/>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4.5.1.3-1</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 xml:space="preserve">  地下水单因子标准指数计算结果</w:t>
      </w:r>
    </w:p>
    <w:tbl>
      <w:tblPr>
        <w:tblStyle w:val="23"/>
        <w:tblW w:w="9132"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956"/>
        <w:gridCol w:w="1070"/>
        <w:gridCol w:w="1217"/>
        <w:gridCol w:w="1196"/>
        <w:gridCol w:w="1300"/>
        <w:gridCol w:w="1196"/>
        <w:gridCol w:w="11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70" w:hRule="atLeast"/>
        </w:trPr>
        <w:tc>
          <w:tcPr>
            <w:tcW w:w="1956" w:type="dxa"/>
            <w:vMerge w:val="restart"/>
            <w:tcBorders>
              <w:tl2br w:val="nil"/>
              <w:tr2bl w:val="nil"/>
            </w:tcBorders>
            <w:vAlign w:val="center"/>
          </w:tcPr>
          <w:p>
            <w:pPr>
              <w:pStyle w:val="31"/>
              <w:bidi w:val="0"/>
              <w:jc w:val="both"/>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mc:AlternateContent>
                <mc:Choice Requires="wps">
                  <w:drawing>
                    <wp:anchor distT="0" distB="0" distL="114300" distR="114300" simplePos="0" relativeHeight="251669504" behindDoc="0" locked="0" layoutInCell="1" allowOverlap="1">
                      <wp:simplePos x="0" y="0"/>
                      <wp:positionH relativeFrom="column">
                        <wp:posOffset>-19050</wp:posOffset>
                      </wp:positionH>
                      <wp:positionV relativeFrom="paragraph">
                        <wp:posOffset>-5080</wp:posOffset>
                      </wp:positionV>
                      <wp:extent cx="1250950" cy="1028700"/>
                      <wp:effectExtent l="3175" t="3810" r="3175" b="15240"/>
                      <wp:wrapNone/>
                      <wp:docPr id="36" name="直接连接符 36"/>
                      <wp:cNvGraphicFramePr/>
                      <a:graphic xmlns:a="http://schemas.openxmlformats.org/drawingml/2006/main">
                        <a:graphicData uri="http://schemas.microsoft.com/office/word/2010/wordprocessingShape">
                          <wps:wsp>
                            <wps:cNvCnPr/>
                            <wps:spPr>
                              <a:xfrm flipV="1">
                                <a:off x="0" y="0"/>
                                <a:ext cx="1250950" cy="1028700"/>
                              </a:xfrm>
                              <a:prstGeom prst="line">
                                <a:avLst/>
                              </a:prstGeom>
                              <a:ln w="6350" cap="flat" cmpd="dbl">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1.5pt;margin-top:-0.4pt;height:81pt;width:98.5pt;z-index:251669504;mso-width-relative:page;mso-height-relative:page;" filled="f" stroked="t" coordsize="21600,21600" o:gfxdata="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n4TotYAAAAIAQAADwAAAAAAAAABACAAAAAiAAAAZHJzL2Rv&#10;d25yZXYueG1sUEsBAhQAFAAAAAgAh07iQLgFMcQDAgAA9gMAAA4AAAAAAAAAAQAgAAAAJQEAAGRy&#10;cy9lMm9Eb2MueG1sUEsFBgAAAAAGAAYAWQEAAJoFAAAAAA==&#10;">
                      <v:fill on="f" focussize="0,0"/>
                      <v:stroke weight="0.5pt" color="#000000" linestyle="thinThin" joinstyle="round"/>
                      <v:imagedata o:title=""/>
                      <o:lock v:ext="edit" aspectratio="f"/>
                    </v:line>
                  </w:pict>
                </mc:Fallback>
              </mc:AlternateContent>
            </w:r>
            <w:r>
              <w:rPr>
                <w:rFonts w:hint="default" w:ascii="Times New Roman" w:hAnsi="Times New Roman" w:eastAsia="宋体" w:cs="Times New Roman"/>
                <w:color w:val="auto"/>
                <w:w w:val="100"/>
                <w:sz w:val="21"/>
                <w:highlight w:val="none"/>
                <w:lang w:val="en-US" w:eastAsia="zh-CN"/>
              </w:rPr>
              <w:t>监测日期</w:t>
            </w:r>
          </w:p>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 xml:space="preserve">                  </w:t>
            </w:r>
          </w:p>
          <w:p>
            <w:pPr>
              <w:pStyle w:val="31"/>
              <w:bidi w:val="0"/>
              <w:rPr>
                <w:rFonts w:hint="default" w:ascii="Times New Roman" w:hAnsi="Times New Roman" w:eastAsia="宋体" w:cs="Times New Roman"/>
                <w:color w:val="auto"/>
                <w:w w:val="100"/>
                <w:sz w:val="21"/>
                <w:highlight w:val="none"/>
                <w:lang w:val="en-US" w:eastAsia="zh-CN"/>
              </w:rPr>
            </w:pPr>
          </w:p>
          <w:p>
            <w:pPr>
              <w:pStyle w:val="31"/>
              <w:bidi w:val="0"/>
              <w:jc w:val="right"/>
              <w:rPr>
                <w:rFonts w:hint="default" w:ascii="Times New Roman" w:hAnsi="Times New Roman" w:eastAsia="宋体" w:cs="Times New Roman"/>
                <w:color w:val="auto"/>
                <w:w w:val="100"/>
                <w:sz w:val="21"/>
                <w:highlight w:val="none"/>
              </w:rPr>
            </w:pPr>
            <w:r>
              <w:rPr>
                <w:rFonts w:hint="default" w:ascii="Times New Roman" w:hAnsi="Times New Roman" w:eastAsia="宋体" w:cs="Times New Roman"/>
                <w:color w:val="auto"/>
                <w:w w:val="100"/>
                <w:sz w:val="21"/>
                <w:highlight w:val="none"/>
                <w:lang w:eastAsia="zh-CN"/>
              </w:rPr>
              <w:t>监</w:t>
            </w:r>
            <w:r>
              <w:rPr>
                <w:rFonts w:hint="default" w:ascii="Times New Roman" w:hAnsi="Times New Roman" w:eastAsia="宋体" w:cs="Times New Roman"/>
                <w:color w:val="auto"/>
                <w:w w:val="100"/>
                <w:sz w:val="21"/>
                <w:highlight w:val="none"/>
              </w:rPr>
              <w:t>测项目</w:t>
            </w:r>
          </w:p>
        </w:tc>
        <w:tc>
          <w:tcPr>
            <w:tcW w:w="7176" w:type="dxa"/>
            <w:gridSpan w:val="6"/>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监测结果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694" w:hRule="atLeast"/>
        </w:trPr>
        <w:tc>
          <w:tcPr>
            <w:tcW w:w="1956" w:type="dxa"/>
            <w:vMerge w:val="continue"/>
            <w:tcBorders>
              <w:tl2br w:val="nil"/>
              <w:tr2bl w:val="nil"/>
            </w:tcBorders>
            <w:vAlign w:val="center"/>
          </w:tcPr>
          <w:p>
            <w:pPr>
              <w:pStyle w:val="31"/>
              <w:bidi w:val="0"/>
              <w:rPr>
                <w:rFonts w:hint="default" w:ascii="Times New Roman" w:hAnsi="Times New Roman" w:eastAsia="宋体" w:cs="Times New Roman"/>
                <w:color w:val="auto"/>
                <w:w w:val="100"/>
                <w:sz w:val="21"/>
                <w:highlight w:val="none"/>
              </w:rPr>
            </w:pP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散户（）</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大庆金开元加工厂</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大庆虹桥纸业有限公司</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后桥家围子</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桥家围子水</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项目厂址</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27" w:hRule="atLeast"/>
        </w:trPr>
        <w:tc>
          <w:tcPr>
            <w:tcW w:w="1956" w:type="dxa"/>
            <w:vMerge w:val="continue"/>
            <w:tcBorders>
              <w:tl2br w:val="nil"/>
              <w:tr2bl w:val="nil"/>
            </w:tcBorders>
            <w:vAlign w:val="center"/>
          </w:tcPr>
          <w:p>
            <w:pPr>
              <w:pStyle w:val="31"/>
              <w:bidi w:val="0"/>
              <w:rPr>
                <w:rFonts w:hint="default" w:ascii="Times New Roman" w:hAnsi="Times New Roman" w:eastAsia="宋体" w:cs="Times New Roman"/>
                <w:color w:val="auto"/>
                <w:w w:val="100"/>
                <w:sz w:val="21"/>
                <w:highlight w:val="none"/>
              </w:rPr>
            </w:pPr>
          </w:p>
        </w:tc>
        <w:tc>
          <w:tcPr>
            <w:tcW w:w="7176" w:type="dxa"/>
            <w:gridSpan w:val="6"/>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w:t>
            </w:r>
            <w:r>
              <w:rPr>
                <w:rFonts w:hint="default" w:ascii="Times New Roman" w:hAnsi="Times New Roman" w:eastAsia="宋体" w:cs="Times New Roman"/>
                <w:color w:val="auto"/>
                <w:w w:val="100"/>
                <w:sz w:val="21"/>
                <w:highlight w:val="none"/>
                <w:lang w:val="en-US" w:eastAsia="zh-CN"/>
              </w:rPr>
              <w:t>月1</w:t>
            </w:r>
            <w:r>
              <w:rPr>
                <w:rFonts w:hint="eastAsia" w:cs="Times New Roman"/>
                <w:color w:val="auto"/>
                <w:w w:val="100"/>
                <w:sz w:val="21"/>
                <w:highlight w:val="none"/>
                <w:lang w:val="en-US" w:eastAsia="zh-CN"/>
              </w:rPr>
              <w:t>2</w:t>
            </w:r>
            <w:r>
              <w:rPr>
                <w:rFonts w:hint="default" w:ascii="Times New Roman" w:hAnsi="Times New Roman" w:eastAsia="宋体" w:cs="Times New Roman"/>
                <w:color w:val="auto"/>
                <w:w w:val="100"/>
                <w:sz w:val="21"/>
                <w:highlight w:val="none"/>
                <w:lang w:val="en-US" w:eastAsia="zh-CN"/>
              </w:rPr>
              <w:t>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zh-CN" w:eastAsia="zh-CN"/>
              </w:rPr>
              <w:t>K</w:t>
            </w:r>
            <w:r>
              <w:rPr>
                <w:rFonts w:hint="default" w:ascii="Times New Roman" w:hAnsi="Times New Roman" w:eastAsia="宋体" w:cs="Times New Roman"/>
                <w:color w:val="auto"/>
                <w:w w:val="100"/>
                <w:sz w:val="21"/>
                <w:highlight w:val="none"/>
                <w:vertAlign w:val="superscript"/>
                <w:lang w:val="zh-CN" w:eastAsia="zh-CN"/>
              </w:rPr>
              <w:t>+</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zh-CN" w:eastAsia="zh-CN"/>
              </w:rPr>
            </w:pPr>
            <w:r>
              <w:rPr>
                <w:rFonts w:hint="default" w:ascii="Times New Roman" w:hAnsi="Times New Roman" w:eastAsia="宋体" w:cs="Times New Roman"/>
                <w:color w:val="auto"/>
                <w:w w:val="100"/>
                <w:sz w:val="21"/>
                <w:highlight w:val="none"/>
                <w:lang w:val="zh-CN" w:eastAsia="zh-CN"/>
              </w:rPr>
              <w:t>Ca</w:t>
            </w:r>
            <w:r>
              <w:rPr>
                <w:rFonts w:hint="default" w:ascii="Times New Roman" w:hAnsi="Times New Roman" w:eastAsia="宋体" w:cs="Times New Roman"/>
                <w:color w:val="auto"/>
                <w:w w:val="100"/>
                <w:sz w:val="21"/>
                <w:highlight w:val="none"/>
                <w:vertAlign w:val="superscript"/>
                <w:lang w:val="zh-CN" w:eastAsia="zh-CN"/>
              </w:rPr>
              <w:t>2+</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zh-CN" w:eastAsia="zh-CN"/>
              </w:rPr>
              <w:t>Na</w:t>
            </w:r>
            <w:r>
              <w:rPr>
                <w:rFonts w:hint="default" w:ascii="Times New Roman" w:hAnsi="Times New Roman" w:eastAsia="宋体" w:cs="Times New Roman"/>
                <w:color w:val="auto"/>
                <w:w w:val="100"/>
                <w:sz w:val="21"/>
                <w:highlight w:val="none"/>
                <w:vertAlign w:val="superscript"/>
                <w:lang w:val="zh-CN" w:eastAsia="zh-CN"/>
              </w:rPr>
              <w:t>+</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zh-CN" w:eastAsia="zh-CN"/>
              </w:rPr>
              <w:t>Mg</w:t>
            </w:r>
            <w:r>
              <w:rPr>
                <w:rFonts w:hint="default" w:ascii="Times New Roman" w:hAnsi="Times New Roman" w:eastAsia="宋体" w:cs="Times New Roman"/>
                <w:color w:val="auto"/>
                <w:w w:val="100"/>
                <w:sz w:val="21"/>
                <w:highlight w:val="none"/>
                <w:vertAlign w:val="superscript"/>
                <w:lang w:val="zh-CN" w:eastAsia="zh-CN"/>
              </w:rPr>
              <w:t>2+</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CO</w:t>
            </w:r>
            <w:r>
              <w:rPr>
                <w:rFonts w:hint="default" w:ascii="Times New Roman" w:hAnsi="Times New Roman" w:eastAsia="宋体" w:cs="Times New Roman"/>
                <w:color w:val="auto"/>
                <w:w w:val="100"/>
                <w:sz w:val="21"/>
                <w:highlight w:val="none"/>
                <w:vertAlign w:val="subscript"/>
                <w:lang w:val="en-US" w:eastAsia="zh-CN"/>
              </w:rPr>
              <w:t>3</w:t>
            </w:r>
            <w:r>
              <w:rPr>
                <w:rFonts w:hint="default" w:ascii="Times New Roman" w:hAnsi="Times New Roman" w:eastAsia="宋体" w:cs="Times New Roman"/>
                <w:color w:val="auto"/>
                <w:w w:val="100"/>
                <w:sz w:val="21"/>
                <w:highlight w:val="none"/>
                <w:vertAlign w:val="superscript"/>
                <w:lang w:val="en-US" w:eastAsia="zh-CN"/>
              </w:rPr>
              <w:t>2-</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zh-CN" w:eastAsia="zh-CN"/>
              </w:rPr>
              <w:t>HC</w:t>
            </w:r>
            <w:r>
              <w:rPr>
                <w:rFonts w:hint="default" w:ascii="Times New Roman" w:hAnsi="Times New Roman" w:eastAsia="宋体" w:cs="Times New Roman"/>
                <w:color w:val="auto"/>
                <w:w w:val="100"/>
                <w:sz w:val="21"/>
                <w:highlight w:val="none"/>
                <w:lang w:val="en-US" w:eastAsia="zh-CN"/>
              </w:rPr>
              <w:t>O</w:t>
            </w:r>
            <w:r>
              <w:rPr>
                <w:rFonts w:hint="default" w:ascii="Times New Roman" w:hAnsi="Times New Roman" w:eastAsia="宋体" w:cs="Times New Roman"/>
                <w:color w:val="auto"/>
                <w:w w:val="100"/>
                <w:sz w:val="21"/>
                <w:highlight w:val="none"/>
                <w:vertAlign w:val="subscript"/>
                <w:lang w:val="en-US" w:eastAsia="zh-CN"/>
              </w:rPr>
              <w:t>3</w:t>
            </w:r>
            <w:r>
              <w:rPr>
                <w:rFonts w:hint="default" w:ascii="Times New Roman" w:hAnsi="Times New Roman" w:eastAsia="宋体" w:cs="Times New Roman"/>
                <w:color w:val="auto"/>
                <w:w w:val="100"/>
                <w:sz w:val="21"/>
                <w:highlight w:val="none"/>
                <w:vertAlign w:val="superscript"/>
                <w:lang w:val="zh-CN" w:eastAsia="zh-CN"/>
              </w:rPr>
              <w:t>-</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氯化物Cl</w:t>
            </w:r>
            <w:r>
              <w:rPr>
                <w:rFonts w:hint="default" w:ascii="Times New Roman" w:hAnsi="Times New Roman" w:eastAsia="宋体" w:cs="Times New Roman"/>
                <w:color w:val="auto"/>
                <w:w w:val="100"/>
                <w:sz w:val="21"/>
                <w:highlight w:val="none"/>
                <w:vertAlign w:val="superscript"/>
                <w:lang w:val="en-US" w:eastAsia="zh-CN"/>
              </w:rPr>
              <w:t>-</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0.142</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0.169</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0.150</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0.097</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0.126</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45"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硫酸盐SO</w:t>
            </w:r>
            <w:r>
              <w:rPr>
                <w:rFonts w:hint="default" w:ascii="Times New Roman" w:hAnsi="Times New Roman" w:eastAsia="宋体" w:cs="Times New Roman"/>
                <w:color w:val="auto"/>
                <w:w w:val="100"/>
                <w:sz w:val="21"/>
                <w:highlight w:val="none"/>
                <w:vertAlign w:val="subscript"/>
                <w:lang w:val="en-US" w:eastAsia="zh-CN"/>
              </w:rPr>
              <w:t>4</w:t>
            </w:r>
            <w:r>
              <w:rPr>
                <w:rFonts w:hint="default" w:ascii="Times New Roman" w:hAnsi="Times New Roman" w:eastAsia="宋体" w:cs="Times New Roman"/>
                <w:color w:val="auto"/>
                <w:w w:val="100"/>
                <w:sz w:val="21"/>
                <w:highlight w:val="none"/>
                <w:vertAlign w:val="superscript"/>
                <w:lang w:val="en-US" w:eastAsia="zh-CN"/>
              </w:rPr>
              <w:t>2-</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0.119</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0.156</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0.127</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0.161</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0.122</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85"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pH</w:t>
            </w:r>
            <w:r>
              <w:rPr>
                <w:rFonts w:hint="eastAsia" w:ascii="Times New Roman" w:hAnsi="Times New Roman" w:eastAsia="宋体" w:cs="Times New Roman"/>
                <w:color w:val="auto"/>
                <w:w w:val="100"/>
                <w:sz w:val="21"/>
                <w:highlight w:val="none"/>
                <w:lang w:val="en-US" w:eastAsia="zh-CN"/>
              </w:rPr>
              <w:t>（</w:t>
            </w:r>
            <w:r>
              <w:rPr>
                <w:rFonts w:hint="default" w:ascii="Times New Roman" w:hAnsi="Times New Roman" w:eastAsia="宋体" w:cs="Times New Roman"/>
                <w:color w:val="auto"/>
                <w:w w:val="100"/>
                <w:sz w:val="21"/>
                <w:highlight w:val="none"/>
                <w:lang w:val="en-US" w:eastAsia="zh-CN"/>
              </w:rPr>
              <w:t>无量纲）</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0.133</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0.333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0.267</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0.533</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50"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总硬度</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0.471</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0.464</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0.582</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0.52</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0.618</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0.671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95"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氨氮</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0.558</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0.736</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0.584</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0.206</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0.454</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20"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氰化物</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75"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挥发酚</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耗氧量</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0.827</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0.78</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0.887</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0.723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0.77</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0.957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氟化物</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0.205</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0.276</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0.231</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0.243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0.222</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砷</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汞</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镉</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六价铬</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铁</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锰</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2.5</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2.6</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铅</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硝酸盐</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0.119</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0.009</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0.007</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0.004</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0.006</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亚硝酸盐</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溶解性总固体</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0.442</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0.563</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0.366</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0.458</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0.387</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0.824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总大肠菌群</w:t>
            </w:r>
            <w:r>
              <w:rPr>
                <w:rFonts w:hint="eastAsia" w:ascii="Times New Roman" w:hAnsi="Times New Roman" w:eastAsia="宋体" w:cs="Times New Roman"/>
                <w:color w:val="auto"/>
                <w:w w:val="100"/>
                <w:sz w:val="21"/>
                <w:highlight w:val="none"/>
                <w:lang w:val="en-US" w:eastAsia="zh-CN"/>
              </w:rPr>
              <w:t>（</w:t>
            </w:r>
            <w:r>
              <w:rPr>
                <w:rFonts w:hint="default" w:ascii="Times New Roman" w:hAnsi="Times New Roman" w:eastAsia="宋体" w:cs="Times New Roman"/>
                <w:color w:val="auto"/>
                <w:w w:val="100"/>
                <w:sz w:val="21"/>
                <w:highlight w:val="none"/>
                <w:lang w:val="en-US" w:eastAsia="zh-CN"/>
              </w:rPr>
              <w:t>MPN/100mL</w:t>
            </w:r>
            <w:r>
              <w:rPr>
                <w:rFonts w:hint="eastAsia" w:ascii="Times New Roman" w:hAnsi="Times New Roman" w:eastAsia="宋体" w:cs="Times New Roman"/>
                <w:color w:val="auto"/>
                <w:w w:val="100"/>
                <w:sz w:val="21"/>
                <w:highlight w:val="none"/>
                <w:lang w:val="en-US" w:eastAsia="zh-CN"/>
              </w:rPr>
              <w:t>）</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细菌总数</w:t>
            </w:r>
            <w:r>
              <w:rPr>
                <w:rFonts w:hint="eastAsia" w:ascii="Times New Roman" w:hAnsi="Times New Roman" w:eastAsia="宋体" w:cs="Times New Roman"/>
                <w:color w:val="auto"/>
                <w:w w:val="100"/>
                <w:sz w:val="21"/>
                <w:highlight w:val="none"/>
                <w:lang w:val="en-US" w:eastAsia="zh-CN"/>
              </w:rPr>
              <w:t>（</w:t>
            </w:r>
            <w:r>
              <w:rPr>
                <w:rFonts w:hint="default" w:ascii="Times New Roman" w:hAnsi="Times New Roman" w:eastAsia="宋体" w:cs="Times New Roman"/>
                <w:color w:val="auto"/>
                <w:w w:val="100"/>
                <w:sz w:val="21"/>
                <w:highlight w:val="none"/>
                <w:lang w:val="en-US" w:eastAsia="zh-CN"/>
              </w:rPr>
              <w:t>CFU/mL）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0.38</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0.49</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0.33</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0.28</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0.22</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13" w:hRule="atLeast"/>
        </w:trPr>
        <w:tc>
          <w:tcPr>
            <w:tcW w:w="195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石油类</w:t>
            </w:r>
            <w:r>
              <w:rPr>
                <w:rFonts w:hint="eastAsia" w:ascii="Times New Roman" w:hAnsi="Times New Roman" w:eastAsia="宋体" w:cs="Times New Roman"/>
                <w:color w:val="auto"/>
                <w:w w:val="100"/>
                <w:sz w:val="21"/>
                <w:highlight w:val="none"/>
                <w:lang w:val="zh-CN" w:eastAsia="zh-CN"/>
              </w:rPr>
              <w:t>（</w:t>
            </w:r>
            <w:r>
              <w:rPr>
                <w:rFonts w:hint="default" w:ascii="Times New Roman" w:hAnsi="Times New Roman" w:eastAsia="宋体" w:cs="Times New Roman"/>
                <w:color w:val="auto"/>
                <w:w w:val="100"/>
                <w:sz w:val="21"/>
                <w:highlight w:val="none"/>
                <w:lang w:val="zh-CN" w:eastAsia="zh-CN"/>
              </w:rPr>
              <w:t>mg/L）</w:t>
            </w:r>
          </w:p>
        </w:tc>
        <w:tc>
          <w:tcPr>
            <w:tcW w:w="107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21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300"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6"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c>
          <w:tcPr>
            <w:tcW w:w="1197" w:type="dxa"/>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w:t>
            </w:r>
          </w:p>
        </w:tc>
      </w:tr>
    </w:tbl>
    <w:p>
      <w:pPr>
        <w:autoSpaceDE w:val="0"/>
        <w:autoSpaceDN w:val="0"/>
        <w:bidi w:val="0"/>
        <w:spacing w:before="0" w:after="0" w:line="500" w:lineRule="exact"/>
        <w:ind w:left="0" w:right="0" w:firstLine="480" w:firstLineChars="200"/>
        <w:jc w:val="left"/>
        <w:rPr>
          <w:rFonts w:hint="default" w:ascii="Times New Roman" w:hAnsi="Times New Roman" w:eastAsia="宋体" w:cs="Times New Roman"/>
          <w:color w:val="auto"/>
          <w:sz w:val="24"/>
          <w:szCs w:val="22"/>
          <w:highlight w:val="none"/>
          <w:lang w:val="zh-CN" w:eastAsia="zh-CN" w:bidi="zh-CN"/>
        </w:rPr>
      </w:pPr>
      <w:r>
        <w:rPr>
          <w:rFonts w:hint="default" w:ascii="Times New Roman" w:hAnsi="Times New Roman" w:eastAsia="宋体" w:cs="Times New Roman"/>
          <w:color w:val="auto"/>
          <w:sz w:val="24"/>
          <w:szCs w:val="22"/>
          <w:highlight w:val="none"/>
          <w:lang w:val="zh-CN" w:eastAsia="zh-CN" w:bidi="zh-CN"/>
        </w:rPr>
        <w:t>从上表可以看出，地下水环境质量满足《地下水质量标准》</w:t>
      </w: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GB/T14848-2017）III类标准，石油类能够满足《地表水环境质量标准》</w:t>
      </w:r>
      <w:r>
        <w:rPr>
          <w:rFonts w:hint="eastAsia" w:ascii="Times New Roman" w:hAnsi="Times New Roman" w:eastAsia="宋体" w:cs="Times New Roman"/>
          <w:color w:val="auto"/>
          <w:sz w:val="24"/>
          <w:szCs w:val="22"/>
          <w:highlight w:val="none"/>
          <w:lang w:val="zh-CN" w:eastAsia="zh-CN" w:bidi="zh-CN"/>
        </w:rPr>
        <w:t>（</w:t>
      </w:r>
      <w:r>
        <w:rPr>
          <w:rFonts w:hint="default" w:ascii="Times New Roman" w:hAnsi="Times New Roman" w:eastAsia="宋体" w:cs="Times New Roman"/>
          <w:color w:val="auto"/>
          <w:sz w:val="24"/>
          <w:szCs w:val="22"/>
          <w:highlight w:val="none"/>
          <w:lang w:val="zh-CN" w:eastAsia="zh-CN" w:bidi="zh-CN"/>
        </w:rPr>
        <w:t>GB3838-2002）</w:t>
      </w:r>
      <w:r>
        <w:rPr>
          <w:rFonts w:hint="default" w:ascii="Times New Roman" w:hAnsi="Times New Roman" w:eastAsia="宋体" w:cs="Times New Roman"/>
          <w:color w:val="auto"/>
          <w:sz w:val="24"/>
          <w:szCs w:val="22"/>
          <w:highlight w:val="none"/>
          <w:lang w:val="en-US" w:eastAsia="zh-CN" w:bidi="zh-CN"/>
        </w:rPr>
        <w:t>表1中Ⅲ</w:t>
      </w:r>
      <w:r>
        <w:rPr>
          <w:rFonts w:hint="default" w:ascii="Times New Roman" w:hAnsi="Times New Roman" w:eastAsia="宋体" w:cs="Times New Roman"/>
          <w:color w:val="auto"/>
          <w:sz w:val="24"/>
          <w:szCs w:val="22"/>
          <w:highlight w:val="none"/>
          <w:lang w:val="zh-CN" w:eastAsia="zh-CN" w:bidi="zh-CN"/>
        </w:rPr>
        <w:t>类限值。</w:t>
      </w:r>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916" w:name="_Toc24857"/>
      <w:bookmarkStart w:id="917" w:name="_Toc13181"/>
      <w:r>
        <w:rPr>
          <w:rFonts w:hint="eastAsia" w:ascii="Times New Roman" w:hAnsi="Times New Roman" w:eastAsia="宋体" w:cs="Times New Roman"/>
          <w:bCs w:val="0"/>
          <w:color w:val="auto"/>
          <w:kern w:val="2"/>
          <w:szCs w:val="20"/>
          <w:highlight w:val="none"/>
          <w:lang w:val="en-US" w:bidi="ar-SA"/>
        </w:rPr>
        <w:t>4.6声环境质量现状评价</w:t>
      </w:r>
      <w:bookmarkEnd w:id="323"/>
      <w:bookmarkEnd w:id="324"/>
      <w:bookmarkEnd w:id="325"/>
      <w:bookmarkEnd w:id="326"/>
      <w:bookmarkEnd w:id="327"/>
      <w:bookmarkEnd w:id="328"/>
      <w:bookmarkEnd w:id="329"/>
      <w:bookmarkEnd w:id="330"/>
      <w:bookmarkEnd w:id="916"/>
      <w:bookmarkEnd w:id="917"/>
    </w:p>
    <w:p>
      <w:pPr>
        <w:pStyle w:val="7"/>
        <w:bidi w:val="0"/>
        <w:rPr>
          <w:color w:val="auto"/>
          <w:highlight w:val="none"/>
        </w:rPr>
      </w:pPr>
      <w:bookmarkStart w:id="918" w:name="_Toc12908"/>
      <w:bookmarkStart w:id="919" w:name="_Toc17397"/>
      <w:bookmarkStart w:id="920" w:name="_Toc7834"/>
      <w:bookmarkStart w:id="921" w:name="_Toc26725"/>
      <w:bookmarkStart w:id="922" w:name="_Toc6080"/>
      <w:bookmarkStart w:id="923" w:name="_Toc16680"/>
      <w:r>
        <w:rPr>
          <w:color w:val="auto"/>
          <w:highlight w:val="none"/>
        </w:rPr>
        <w:t>4.6.1声环境现状监测</w:t>
      </w:r>
      <w:bookmarkEnd w:id="918"/>
      <w:bookmarkEnd w:id="919"/>
      <w:bookmarkEnd w:id="920"/>
      <w:bookmarkEnd w:id="921"/>
      <w:bookmarkEnd w:id="922"/>
      <w:bookmarkEnd w:id="923"/>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924" w:name="_Toc4984"/>
      <w:bookmarkStart w:id="925" w:name="_Toc23434"/>
      <w:bookmarkStart w:id="926" w:name="_Toc10060"/>
      <w:bookmarkStart w:id="927" w:name="_Toc22934"/>
      <w:bookmarkStart w:id="928" w:name="_Toc13021"/>
      <w:bookmarkStart w:id="929" w:name="_Toc1965"/>
      <w:bookmarkStart w:id="930" w:name="_Toc3807"/>
      <w:r>
        <w:rPr>
          <w:rFonts w:hint="eastAsia" w:ascii="Times New Roman" w:hAnsi="Times New Roman" w:eastAsia="宋体" w:cs="Times New Roman"/>
          <w:b/>
          <w:bCs/>
          <w:color w:val="auto"/>
          <w:szCs w:val="20"/>
          <w:highlight w:val="none"/>
          <w:lang w:val="en-US" w:eastAsia="zh-CN" w:bidi="ar-SA"/>
        </w:rPr>
        <w:t>4.6.1.1监测点位</w:t>
      </w:r>
      <w:bookmarkEnd w:id="924"/>
      <w:bookmarkEnd w:id="925"/>
      <w:bookmarkEnd w:id="926"/>
      <w:bookmarkEnd w:id="927"/>
      <w:bookmarkEnd w:id="928"/>
      <w:bookmarkEnd w:id="929"/>
      <w:bookmarkEnd w:id="930"/>
    </w:p>
    <w:p>
      <w:pPr>
        <w:bidi w:val="0"/>
        <w:rPr>
          <w:color w:val="auto"/>
          <w:sz w:val="24"/>
          <w:highlight w:val="none"/>
        </w:rPr>
      </w:pPr>
      <w:r>
        <w:rPr>
          <w:color w:val="auto"/>
          <w:sz w:val="24"/>
          <w:highlight w:val="none"/>
        </w:rPr>
        <w:t>本项目位于</w:t>
      </w:r>
      <w:r>
        <w:rPr>
          <w:rFonts w:hint="eastAsia"/>
          <w:color w:val="auto"/>
          <w:sz w:val="24"/>
          <w:highlight w:val="none"/>
          <w:lang w:eastAsia="zh-CN"/>
        </w:rPr>
        <w:t>黑龙江大同经济开发区纸业园区</w:t>
      </w:r>
      <w:r>
        <w:rPr>
          <w:color w:val="auto"/>
          <w:sz w:val="24"/>
          <w:highlight w:val="none"/>
        </w:rPr>
        <w:t>，</w:t>
      </w:r>
      <w:r>
        <w:rPr>
          <w:rFonts w:hint="eastAsia"/>
          <w:color w:val="auto"/>
          <w:sz w:val="24"/>
          <w:highlight w:val="none"/>
        </w:rPr>
        <w:t>中心地理坐标</w:t>
      </w:r>
      <w:r>
        <w:rPr>
          <w:rFonts w:hint="eastAsia"/>
          <w:color w:val="auto"/>
          <w:sz w:val="24"/>
          <w:highlight w:val="none"/>
          <w:lang w:val="en-US" w:eastAsia="zh-CN"/>
        </w:rPr>
        <w:t>E124°43′0.223″，N45°55′28.251″</w:t>
      </w:r>
      <w:r>
        <w:rPr>
          <w:rFonts w:hint="eastAsia"/>
          <w:color w:val="auto"/>
          <w:sz w:val="24"/>
          <w:highlight w:val="none"/>
          <w:lang w:eastAsia="zh-CN"/>
        </w:rPr>
        <w:t>，利用本项目原有厂址进行改建</w:t>
      </w:r>
      <w:r>
        <w:rPr>
          <w:color w:val="auto"/>
          <w:sz w:val="24"/>
          <w:highlight w:val="none"/>
        </w:rPr>
        <w:t>，项目东侧</w:t>
      </w:r>
      <w:r>
        <w:rPr>
          <w:rFonts w:hint="eastAsia"/>
          <w:color w:val="auto"/>
          <w:sz w:val="24"/>
          <w:highlight w:val="none"/>
          <w:lang w:eastAsia="zh-CN"/>
        </w:rPr>
        <w:t>为大庆宏亚纸业</w:t>
      </w:r>
      <w:r>
        <w:rPr>
          <w:color w:val="auto"/>
          <w:sz w:val="24"/>
          <w:highlight w:val="none"/>
        </w:rPr>
        <w:t>、西侧</w:t>
      </w:r>
      <w:r>
        <w:rPr>
          <w:rFonts w:hint="eastAsia"/>
          <w:color w:val="auto"/>
          <w:sz w:val="24"/>
          <w:highlight w:val="none"/>
          <w:lang w:eastAsia="zh-CN"/>
        </w:rPr>
        <w:t>为</w:t>
      </w:r>
      <w:r>
        <w:rPr>
          <w:rFonts w:hint="eastAsia"/>
          <w:color w:val="auto"/>
          <w:sz w:val="24"/>
          <w:highlight w:val="none"/>
        </w:rPr>
        <w:t>福庆纸业</w:t>
      </w:r>
      <w:r>
        <w:rPr>
          <w:color w:val="auto"/>
          <w:sz w:val="24"/>
          <w:highlight w:val="none"/>
        </w:rPr>
        <w:t>，北侧为</w:t>
      </w:r>
      <w:r>
        <w:rPr>
          <w:rFonts w:hint="eastAsia"/>
          <w:color w:val="auto"/>
          <w:sz w:val="24"/>
          <w:highlight w:val="none"/>
        </w:rPr>
        <w:t>德昌伟业</w:t>
      </w:r>
      <w:r>
        <w:rPr>
          <w:rFonts w:hint="eastAsia"/>
          <w:color w:val="auto"/>
          <w:sz w:val="24"/>
          <w:highlight w:val="none"/>
          <w:lang w:eastAsia="zh-CN"/>
        </w:rPr>
        <w:t>化工有限公司</w:t>
      </w:r>
      <w:r>
        <w:rPr>
          <w:color w:val="auto"/>
          <w:sz w:val="24"/>
          <w:highlight w:val="none"/>
        </w:rPr>
        <w:t>，南侧为空地。厂界声环境现状监测布点详见图4.6</w:t>
      </w:r>
      <w:r>
        <w:rPr>
          <w:rFonts w:hint="eastAsia"/>
          <w:color w:val="auto"/>
          <w:sz w:val="24"/>
          <w:highlight w:val="none"/>
          <w:lang w:val="en-US" w:eastAsia="zh-CN"/>
        </w:rPr>
        <w:t>.1.1</w:t>
      </w:r>
      <w:r>
        <w:rPr>
          <w:color w:val="auto"/>
          <w:sz w:val="24"/>
          <w:highlight w:val="none"/>
        </w:rPr>
        <w:t>-1。</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931" w:name="_Toc27989"/>
      <w:bookmarkStart w:id="932" w:name="_Toc463"/>
      <w:bookmarkStart w:id="933" w:name="_Toc21087"/>
      <w:bookmarkStart w:id="934" w:name="_Toc32493"/>
      <w:bookmarkStart w:id="935" w:name="_Toc26684"/>
      <w:bookmarkStart w:id="936" w:name="_Toc18285"/>
      <w:bookmarkStart w:id="937" w:name="_Toc11896"/>
      <w:bookmarkStart w:id="938" w:name="_Toc135128249"/>
      <w:bookmarkStart w:id="939" w:name="_Toc135109196"/>
      <w:r>
        <w:rPr>
          <w:rFonts w:hint="eastAsia" w:ascii="Times New Roman" w:hAnsi="Times New Roman" w:eastAsia="宋体" w:cs="Times New Roman"/>
          <w:b/>
          <w:bCs/>
          <w:color w:val="auto"/>
          <w:szCs w:val="20"/>
          <w:highlight w:val="none"/>
          <w:lang w:val="en-US" w:eastAsia="zh-CN" w:bidi="ar-SA"/>
        </w:rPr>
        <w:t>4.6.1.2监测时间、频率</w:t>
      </w:r>
      <w:bookmarkEnd w:id="931"/>
      <w:bookmarkEnd w:id="932"/>
      <w:bookmarkEnd w:id="933"/>
      <w:bookmarkEnd w:id="934"/>
      <w:bookmarkEnd w:id="935"/>
      <w:bookmarkEnd w:id="936"/>
      <w:bookmarkEnd w:id="937"/>
    </w:p>
    <w:bookmarkEnd w:id="938"/>
    <w:bookmarkEnd w:id="939"/>
    <w:p>
      <w:pPr>
        <w:bidi w:val="0"/>
        <w:rPr>
          <w:color w:val="auto"/>
          <w:highlight w:val="none"/>
        </w:rPr>
      </w:pPr>
      <w:r>
        <w:rPr>
          <w:color w:val="auto"/>
          <w:highlight w:val="none"/>
        </w:rPr>
        <w:t>委托黑龙江</w:t>
      </w:r>
      <w:r>
        <w:rPr>
          <w:rFonts w:hint="eastAsia"/>
          <w:color w:val="auto"/>
          <w:highlight w:val="none"/>
          <w:lang w:eastAsia="zh-CN"/>
        </w:rPr>
        <w:t>永青环保科技有限公司</w:t>
      </w:r>
      <w:r>
        <w:rPr>
          <w:color w:val="auto"/>
          <w:highlight w:val="none"/>
        </w:rPr>
        <w:t>，监测时间为</w:t>
      </w:r>
      <w:r>
        <w:rPr>
          <w:rFonts w:hint="eastAsia"/>
          <w:color w:val="auto"/>
          <w:highlight w:val="none"/>
          <w:lang w:val="en-US" w:eastAsia="zh-CN"/>
        </w:rPr>
        <w:t>2022</w:t>
      </w:r>
      <w:r>
        <w:rPr>
          <w:color w:val="auto"/>
          <w:highlight w:val="none"/>
        </w:rPr>
        <w:t>年</w:t>
      </w:r>
      <w:r>
        <w:rPr>
          <w:rFonts w:hint="eastAsia"/>
          <w:color w:val="auto"/>
          <w:highlight w:val="none"/>
          <w:lang w:val="en-US" w:eastAsia="zh-CN"/>
        </w:rPr>
        <w:t>1</w:t>
      </w:r>
      <w:r>
        <w:rPr>
          <w:color w:val="auto"/>
          <w:highlight w:val="none"/>
        </w:rPr>
        <w:t>月</w:t>
      </w:r>
      <w:r>
        <w:rPr>
          <w:rFonts w:hint="eastAsia"/>
          <w:color w:val="auto"/>
          <w:highlight w:val="none"/>
          <w:lang w:val="en-US" w:eastAsia="zh-CN"/>
        </w:rPr>
        <w:t>23</w:t>
      </w:r>
      <w:r>
        <w:rPr>
          <w:color w:val="auto"/>
          <w:highlight w:val="none"/>
        </w:rPr>
        <w:t>日和</w:t>
      </w:r>
      <w:r>
        <w:rPr>
          <w:rFonts w:hint="eastAsia"/>
          <w:color w:val="auto"/>
          <w:highlight w:val="none"/>
          <w:lang w:val="en-US" w:eastAsia="zh-CN"/>
        </w:rPr>
        <w:t>1</w:t>
      </w:r>
      <w:r>
        <w:rPr>
          <w:color w:val="auto"/>
          <w:highlight w:val="none"/>
        </w:rPr>
        <w:t>月</w:t>
      </w:r>
      <w:r>
        <w:rPr>
          <w:rFonts w:hint="eastAsia"/>
          <w:color w:val="auto"/>
          <w:highlight w:val="none"/>
          <w:lang w:val="en-US" w:eastAsia="zh-CN"/>
        </w:rPr>
        <w:t>24</w:t>
      </w:r>
      <w:r>
        <w:rPr>
          <w:color w:val="auto"/>
          <w:highlight w:val="none"/>
        </w:rPr>
        <w:t>日连续两天</w:t>
      </w:r>
      <w:r>
        <w:rPr>
          <w:rFonts w:hint="eastAsia"/>
          <w:color w:val="auto"/>
          <w:highlight w:val="none"/>
          <w:lang w:eastAsia="zh-CN"/>
        </w:rPr>
        <w:t>（</w:t>
      </w:r>
      <w:r>
        <w:rPr>
          <w:color w:val="auto"/>
          <w:highlight w:val="none"/>
        </w:rPr>
        <w:t>昼夜各一次）。</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940" w:name="_Toc1468"/>
      <w:bookmarkStart w:id="941" w:name="_Toc11381"/>
      <w:bookmarkStart w:id="942" w:name="_Toc7014"/>
      <w:bookmarkStart w:id="943" w:name="_Toc4961"/>
      <w:bookmarkStart w:id="944" w:name="_Toc10597"/>
      <w:bookmarkStart w:id="945" w:name="_Toc11607"/>
      <w:bookmarkStart w:id="946" w:name="_Toc12044"/>
      <w:bookmarkStart w:id="947" w:name="_Toc135128250"/>
      <w:bookmarkStart w:id="948" w:name="_Toc135109197"/>
      <w:r>
        <w:rPr>
          <w:rFonts w:hint="eastAsia" w:ascii="Times New Roman" w:hAnsi="Times New Roman" w:eastAsia="宋体" w:cs="Times New Roman"/>
          <w:b/>
          <w:bCs/>
          <w:color w:val="auto"/>
          <w:szCs w:val="20"/>
          <w:highlight w:val="none"/>
          <w:lang w:val="en-US" w:eastAsia="zh-CN" w:bidi="ar-SA"/>
        </w:rPr>
        <w:t>4.6.1.3监测结果</w:t>
      </w:r>
      <w:bookmarkEnd w:id="940"/>
      <w:bookmarkEnd w:id="941"/>
      <w:bookmarkEnd w:id="942"/>
      <w:bookmarkEnd w:id="943"/>
      <w:bookmarkEnd w:id="944"/>
      <w:bookmarkEnd w:id="945"/>
      <w:bookmarkEnd w:id="946"/>
    </w:p>
    <w:bookmarkEnd w:id="947"/>
    <w:bookmarkEnd w:id="948"/>
    <w:p>
      <w:pPr>
        <w:bidi w:val="0"/>
        <w:rPr>
          <w:rFonts w:ascii="Times New Roman" w:hAnsi="Times New Roman" w:cs="Times New Roman"/>
          <w:color w:val="auto"/>
          <w:highlight w:val="none"/>
        </w:rPr>
      </w:pPr>
      <w:r>
        <w:rPr>
          <w:rFonts w:ascii="Times New Roman" w:hAnsi="Times New Roman" w:cs="Times New Roman"/>
          <w:color w:val="auto"/>
          <w:highlight w:val="none"/>
        </w:rPr>
        <w:t>声环境现状监测结果见表4.6</w:t>
      </w:r>
      <w:r>
        <w:rPr>
          <w:rFonts w:hint="eastAsia" w:ascii="Times New Roman" w:hAnsi="Times New Roman" w:cs="Times New Roman"/>
          <w:color w:val="auto"/>
          <w:highlight w:val="none"/>
          <w:lang w:val="en-US" w:eastAsia="zh-CN"/>
        </w:rPr>
        <w:t>.1.3</w:t>
      </w:r>
      <w:r>
        <w:rPr>
          <w:rFonts w:ascii="Times New Roman" w:hAnsi="Times New Roman" w:cs="Times New Roman"/>
          <w:color w:val="auto"/>
          <w:highlight w:val="none"/>
        </w:rPr>
        <w:t>-1。</w:t>
      </w:r>
    </w:p>
    <w:p>
      <w:pPr>
        <w:bidi w:val="0"/>
        <w:rPr>
          <w:rFonts w:ascii="Times New Roman" w:hAnsi="Times New Roman" w:cs="Times New Roman"/>
          <w:color w:val="auto"/>
          <w:highlight w:val="none"/>
        </w:rPr>
      </w:pPr>
      <w:r>
        <w:rPr>
          <w:rFonts w:ascii="Times New Roman" w:hAnsi="Times New Roman" w:cs="Times New Roman"/>
          <w:color w:val="auto"/>
          <w:highlight w:val="none"/>
        </w:rPr>
        <w:t>表4.6</w:t>
      </w:r>
      <w:r>
        <w:rPr>
          <w:rFonts w:hint="eastAsia" w:ascii="Times New Roman" w:hAnsi="Times New Roman" w:cs="Times New Roman"/>
          <w:color w:val="auto"/>
          <w:highlight w:val="none"/>
          <w:lang w:val="en-US" w:eastAsia="zh-CN"/>
        </w:rPr>
        <w:t>.1.3</w:t>
      </w:r>
      <w:r>
        <w:rPr>
          <w:rFonts w:ascii="Times New Roman" w:hAnsi="Times New Roman" w:cs="Times New Roman"/>
          <w:color w:val="auto"/>
          <w:highlight w:val="none"/>
        </w:rPr>
        <w:t xml:space="preserve">-1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 xml:space="preserve">现状噪声监测结果一览表  </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单位：dB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w:t>
      </w:r>
    </w:p>
    <w:tbl>
      <w:tblPr>
        <w:tblStyle w:val="23"/>
        <w:tblW w:w="92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2"/>
        <w:gridCol w:w="1621"/>
        <w:gridCol w:w="1622"/>
        <w:gridCol w:w="1621"/>
        <w:gridCol w:w="16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Merge w:val="restart"/>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监测地点</w:t>
            </w:r>
          </w:p>
        </w:tc>
        <w:tc>
          <w:tcPr>
            <w:tcW w:w="3243" w:type="dxa"/>
            <w:gridSpan w:val="2"/>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2022.01.23</w:t>
            </w:r>
            <w:r>
              <w:rPr>
                <w:rFonts w:hint="eastAsia" w:ascii="Times New Roman" w:hAnsi="Times New Roman" w:eastAsia="宋体" w:cs="Times New Roman"/>
                <w:color w:val="auto"/>
                <w:w w:val="100"/>
                <w:sz w:val="21"/>
                <w:highlight w:val="none"/>
                <w:lang w:val="en-US" w:eastAsia="zh-CN"/>
              </w:rPr>
              <w:t>监测结果</w:t>
            </w:r>
          </w:p>
        </w:tc>
        <w:tc>
          <w:tcPr>
            <w:tcW w:w="3243" w:type="dxa"/>
            <w:gridSpan w:val="2"/>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2022.01.24</w:t>
            </w:r>
            <w:r>
              <w:rPr>
                <w:rFonts w:hint="eastAsia" w:ascii="Times New Roman" w:hAnsi="Times New Roman" w:eastAsia="宋体" w:cs="Times New Roman"/>
                <w:color w:val="auto"/>
                <w:w w:val="100"/>
                <w:sz w:val="21"/>
                <w:highlight w:val="none"/>
                <w:lang w:val="en-US" w:eastAsia="zh-CN"/>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Merge w:val="continue"/>
            <w:vAlign w:val="center"/>
          </w:tcPr>
          <w:p>
            <w:pPr>
              <w:pStyle w:val="31"/>
              <w:bidi w:val="0"/>
              <w:rPr>
                <w:rFonts w:hint="eastAsia" w:ascii="Times New Roman" w:hAnsi="Times New Roman" w:eastAsia="宋体" w:cs="Times New Roman"/>
                <w:color w:val="auto"/>
                <w:w w:val="100"/>
                <w:sz w:val="21"/>
                <w:highlight w:val="none"/>
                <w:lang w:val="en-US" w:eastAsia="zh-CN"/>
              </w:rPr>
            </w:pP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昼</w:t>
            </w:r>
          </w:p>
        </w:tc>
        <w:tc>
          <w:tcPr>
            <w:tcW w:w="162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夜</w:t>
            </w: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昼</w:t>
            </w:r>
          </w:p>
        </w:tc>
        <w:tc>
          <w:tcPr>
            <w:tcW w:w="162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厂界东侧外1m ▲1</w:t>
            </w:r>
          </w:p>
        </w:tc>
        <w:tc>
          <w:tcPr>
            <w:tcW w:w="1621"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54.5</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2.</w:t>
            </w:r>
            <w:r>
              <w:rPr>
                <w:rFonts w:hint="default" w:ascii="Times New Roman" w:hAnsi="Times New Roman" w:eastAsia="宋体" w:cs="Times New Roman"/>
                <w:color w:val="auto"/>
                <w:w w:val="100"/>
                <w:sz w:val="21"/>
                <w:highlight w:val="none"/>
                <w:lang w:val="en-US" w:eastAsia="zh-CN"/>
              </w:rPr>
              <w:t>2</w:t>
            </w: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5</w:t>
            </w:r>
            <w:r>
              <w:rPr>
                <w:rFonts w:hint="eastAsia" w:ascii="Times New Roman" w:hAnsi="Times New Roman" w:eastAsia="宋体" w:cs="Times New Roman"/>
                <w:color w:val="auto"/>
                <w:w w:val="100"/>
                <w:sz w:val="21"/>
                <w:highlight w:val="none"/>
                <w:lang w:val="en-US" w:eastAsia="zh-CN"/>
              </w:rPr>
              <w:t>1.3</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5</w:t>
            </w:r>
            <w:r>
              <w:rPr>
                <w:rFonts w:hint="default" w:ascii="Times New Roman" w:hAnsi="Times New Roman" w:eastAsia="宋体" w:cs="Times New Roman"/>
                <w:color w:val="auto"/>
                <w:w w:val="100"/>
                <w:sz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厂界南侧外1m ▲2</w:t>
            </w:r>
          </w:p>
        </w:tc>
        <w:tc>
          <w:tcPr>
            <w:tcW w:w="1621"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53.2</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4</w:t>
            </w:r>
            <w:r>
              <w:rPr>
                <w:rFonts w:hint="default" w:ascii="Times New Roman" w:hAnsi="Times New Roman" w:eastAsia="宋体" w:cs="Times New Roman"/>
                <w:color w:val="auto"/>
                <w:w w:val="100"/>
                <w:sz w:val="21"/>
                <w:highlight w:val="none"/>
                <w:lang w:val="en-US" w:eastAsia="zh-CN"/>
              </w:rPr>
              <w:t>.3</w:t>
            </w: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52.6</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0</w:t>
            </w:r>
            <w:r>
              <w:rPr>
                <w:rFonts w:hint="default" w:ascii="Times New Roman" w:hAnsi="Times New Roman" w:eastAsia="宋体" w:cs="Times New Roman"/>
                <w:color w:val="auto"/>
                <w:w w:val="100"/>
                <w:sz w:val="21"/>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厂界西侧外1m ▲3</w:t>
            </w:r>
          </w:p>
        </w:tc>
        <w:tc>
          <w:tcPr>
            <w:tcW w:w="1621"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5</w:t>
            </w:r>
            <w:r>
              <w:rPr>
                <w:rFonts w:hint="eastAsia" w:ascii="Times New Roman" w:hAnsi="Times New Roman" w:eastAsia="宋体" w:cs="Times New Roman"/>
                <w:color w:val="auto"/>
                <w:w w:val="100"/>
                <w:sz w:val="21"/>
                <w:highlight w:val="none"/>
                <w:lang w:val="en-US" w:eastAsia="zh-CN"/>
              </w:rPr>
              <w:t>2.5</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5</w:t>
            </w:r>
            <w:r>
              <w:rPr>
                <w:rFonts w:hint="default" w:ascii="Times New Roman" w:hAnsi="Times New Roman" w:eastAsia="宋体" w:cs="Times New Roman"/>
                <w:color w:val="auto"/>
                <w:w w:val="100"/>
                <w:sz w:val="21"/>
                <w:highlight w:val="none"/>
                <w:lang w:val="en-US" w:eastAsia="zh-CN"/>
              </w:rPr>
              <w:t>.7</w:t>
            </w: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54.0</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1.</w:t>
            </w:r>
            <w:r>
              <w:rPr>
                <w:rFonts w:hint="default" w:ascii="Times New Roman" w:hAnsi="Times New Roman" w:eastAsia="宋体" w:cs="Times New Roman"/>
                <w:color w:val="auto"/>
                <w:w w:val="100"/>
                <w:sz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厂界北侧外1m ▲4</w:t>
            </w:r>
          </w:p>
        </w:tc>
        <w:tc>
          <w:tcPr>
            <w:tcW w:w="1621"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55.3</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4</w:t>
            </w:r>
            <w:r>
              <w:rPr>
                <w:rFonts w:hint="default" w:ascii="Times New Roman" w:hAnsi="Times New Roman" w:eastAsia="宋体" w:cs="Times New Roman"/>
                <w:color w:val="auto"/>
                <w:w w:val="100"/>
                <w:sz w:val="21"/>
                <w:highlight w:val="none"/>
                <w:lang w:val="en-US" w:eastAsia="zh-CN"/>
              </w:rPr>
              <w:t>.6</w:t>
            </w:r>
          </w:p>
        </w:tc>
        <w:tc>
          <w:tcPr>
            <w:tcW w:w="1621"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55.2</w:t>
            </w:r>
          </w:p>
        </w:tc>
        <w:tc>
          <w:tcPr>
            <w:tcW w:w="162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lang w:val="en-US" w:eastAsia="zh-CN"/>
              </w:rPr>
              <w:t>4</w:t>
            </w:r>
            <w:r>
              <w:rPr>
                <w:rFonts w:hint="eastAsia" w:ascii="Times New Roman" w:hAnsi="Times New Roman" w:eastAsia="宋体" w:cs="Times New Roman"/>
                <w:color w:val="auto"/>
                <w:w w:val="100"/>
                <w:sz w:val="21"/>
                <w:highlight w:val="none"/>
                <w:lang w:val="en-US" w:eastAsia="zh-CN"/>
              </w:rPr>
              <w:t>4</w:t>
            </w:r>
            <w:r>
              <w:rPr>
                <w:rFonts w:hint="default" w:ascii="Times New Roman" w:hAnsi="Times New Roman" w:eastAsia="宋体" w:cs="Times New Roman"/>
                <w:color w:val="auto"/>
                <w:w w:val="100"/>
                <w:sz w:val="21"/>
                <w:highlight w:val="none"/>
                <w:lang w:val="en-US" w:eastAsia="zh-CN"/>
              </w:rPr>
              <w:t>.1</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val="0"/>
          <w:color w:val="auto"/>
          <w:highlight w:val="none"/>
        </w:rPr>
      </w:pPr>
      <w:r>
        <w:rPr>
          <w:b w:val="0"/>
          <w:bCs w:val="0"/>
          <w:color w:val="auto"/>
          <w:highlight w:val="none"/>
        </w:rPr>
        <w:drawing>
          <wp:inline distT="0" distB="0" distL="114300" distR="114300">
            <wp:extent cx="5754370" cy="3803650"/>
            <wp:effectExtent l="0" t="0" r="17780" b="6350"/>
            <wp:docPr id="37" name="图片 3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1"/>
                    <pic:cNvPicPr>
                      <a:picLocks noChangeAspect="1"/>
                    </pic:cNvPicPr>
                  </pic:nvPicPr>
                  <pic:blipFill>
                    <a:blip r:embed="rId46"/>
                    <a:stretch>
                      <a:fillRect/>
                    </a:stretch>
                  </pic:blipFill>
                  <pic:spPr>
                    <a:xfrm>
                      <a:off x="0" y="0"/>
                      <a:ext cx="5754370" cy="3803650"/>
                    </a:xfrm>
                    <a:prstGeom prst="rect">
                      <a:avLst/>
                    </a:prstGeom>
                  </pic:spPr>
                </pic:pic>
              </a:graphicData>
            </a:graphic>
          </wp:inline>
        </w:drawing>
      </w:r>
      <w:r>
        <w:rPr>
          <w:b w:val="0"/>
          <w:bCs w:val="0"/>
          <w:color w:val="auto"/>
          <w:highlight w:val="none"/>
        </w:rPr>
        <w:t>图</w:t>
      </w:r>
      <w:r>
        <w:rPr>
          <w:rFonts w:hint="eastAsia"/>
          <w:b w:val="0"/>
          <w:bCs w:val="0"/>
          <w:color w:val="auto"/>
          <w:highlight w:val="none"/>
          <w:lang w:val="en-US" w:eastAsia="zh-CN"/>
        </w:rPr>
        <w:t xml:space="preserve">4.6.1.1-1  </w:t>
      </w:r>
      <w:r>
        <w:rPr>
          <w:b w:val="0"/>
          <w:bCs w:val="0"/>
          <w:color w:val="auto"/>
          <w:highlight w:val="none"/>
        </w:rPr>
        <w:t>声环境现状监测布点图</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949" w:name="_Toc6660"/>
      <w:bookmarkStart w:id="950" w:name="_Toc11425"/>
      <w:bookmarkStart w:id="951" w:name="_Toc16314"/>
      <w:bookmarkStart w:id="952" w:name="_Toc572"/>
      <w:bookmarkStart w:id="953" w:name="_Toc10267"/>
      <w:bookmarkStart w:id="954" w:name="_Toc20962"/>
      <w:r>
        <w:rPr>
          <w:rFonts w:ascii="Times New Roman" w:hAnsi="Times New Roman" w:eastAsia="宋体" w:cs="Times New Roman"/>
          <w:bCs w:val="0"/>
          <w:color w:val="auto"/>
          <w:szCs w:val="20"/>
          <w:highlight w:val="none"/>
          <w:lang w:val="en-US" w:bidi="ar-SA"/>
        </w:rPr>
        <w:t>4.6.2声环境现状评价</w:t>
      </w:r>
      <w:bookmarkEnd w:id="949"/>
      <w:bookmarkEnd w:id="950"/>
      <w:bookmarkEnd w:id="951"/>
      <w:bookmarkEnd w:id="952"/>
      <w:bookmarkEnd w:id="953"/>
      <w:bookmarkEnd w:id="954"/>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955" w:name="_Toc22020"/>
      <w:bookmarkStart w:id="956" w:name="_Toc13960"/>
      <w:bookmarkStart w:id="957" w:name="_Toc30433"/>
      <w:bookmarkStart w:id="958" w:name="_Toc2973"/>
      <w:bookmarkStart w:id="959" w:name="_Toc16265"/>
      <w:bookmarkStart w:id="960" w:name="_Toc1826"/>
      <w:bookmarkStart w:id="961" w:name="_Toc25894"/>
      <w:bookmarkStart w:id="962" w:name="_Toc135109200"/>
      <w:bookmarkStart w:id="963" w:name="_Toc135128253"/>
      <w:r>
        <w:rPr>
          <w:rFonts w:hint="eastAsia" w:ascii="Times New Roman" w:hAnsi="Times New Roman" w:eastAsia="宋体" w:cs="Times New Roman"/>
          <w:b/>
          <w:bCs/>
          <w:color w:val="auto"/>
          <w:szCs w:val="20"/>
          <w:highlight w:val="none"/>
          <w:lang w:val="en-US" w:eastAsia="zh-CN" w:bidi="ar-SA"/>
        </w:rPr>
        <w:t>4.6.2.1评价标准</w:t>
      </w:r>
      <w:bookmarkEnd w:id="955"/>
      <w:bookmarkEnd w:id="956"/>
      <w:bookmarkEnd w:id="957"/>
      <w:bookmarkEnd w:id="958"/>
      <w:bookmarkEnd w:id="959"/>
      <w:bookmarkEnd w:id="960"/>
      <w:bookmarkEnd w:id="961"/>
    </w:p>
    <w:bookmarkEnd w:id="962"/>
    <w:bookmarkEnd w:id="963"/>
    <w:p>
      <w:pPr>
        <w:bidi w:val="0"/>
        <w:rPr>
          <w:rFonts w:hint="eastAsia" w:ascii="Times New Roman" w:hAnsi="Times New Roman" w:cs="Times New Roman"/>
          <w:color w:val="auto"/>
          <w:highlight w:val="none"/>
          <w:lang w:val="zh-CN"/>
        </w:rPr>
      </w:pPr>
      <w:r>
        <w:rPr>
          <w:rFonts w:hint="eastAsia" w:ascii="Times New Roman" w:hAnsi="Times New Roman" w:cs="Times New Roman"/>
          <w:color w:val="auto"/>
          <w:highlight w:val="none"/>
          <w:lang w:val="zh-CN"/>
        </w:rPr>
        <w:t>评价标准为《声环境质量标准》</w:t>
      </w:r>
      <w:r>
        <w:rPr>
          <w:rFonts w:hint="eastAsia" w:ascii="Times New Roman" w:hAnsi="Times New Roman" w:cs="Times New Roman"/>
          <w:color w:val="auto"/>
          <w:highlight w:val="none"/>
          <w:lang w:val="zh-CN" w:eastAsia="zh-CN"/>
        </w:rPr>
        <w:t>（</w:t>
      </w:r>
      <w:r>
        <w:rPr>
          <w:rFonts w:hint="eastAsia" w:ascii="Times New Roman" w:hAnsi="Times New Roman" w:cs="Times New Roman"/>
          <w:color w:val="auto"/>
          <w:highlight w:val="none"/>
          <w:lang w:val="zh-CN"/>
        </w:rPr>
        <w:t>GB3096-2008）中的</w:t>
      </w:r>
      <w:r>
        <w:rPr>
          <w:rFonts w:hint="eastAsia" w:cs="Times New Roman"/>
          <w:color w:val="auto"/>
          <w:highlight w:val="none"/>
          <w:lang w:val="en-US" w:eastAsia="zh-CN"/>
        </w:rPr>
        <w:t>3</w:t>
      </w:r>
      <w:r>
        <w:rPr>
          <w:rFonts w:hint="eastAsia" w:ascii="Times New Roman" w:hAnsi="Times New Roman" w:cs="Times New Roman"/>
          <w:color w:val="auto"/>
          <w:highlight w:val="none"/>
          <w:lang w:val="zh-CN"/>
        </w:rPr>
        <w:t>类标准。</w:t>
      </w:r>
    </w:p>
    <w:p>
      <w:pPr>
        <w:bidi w:val="0"/>
        <w:rPr>
          <w:rFonts w:hint="eastAsia" w:ascii="Times New Roman" w:hAnsi="Times New Roman" w:cs="Times New Roman"/>
          <w:color w:val="auto"/>
          <w:highlight w:val="none"/>
          <w:lang w:val="zh-CN"/>
        </w:rPr>
      </w:pPr>
      <w:r>
        <w:rPr>
          <w:rFonts w:hint="eastAsia" w:ascii="Times New Roman" w:hAnsi="Times New Roman" w:cs="Times New Roman"/>
          <w:color w:val="auto"/>
          <w:highlight w:val="none"/>
          <w:lang w:val="zh-CN"/>
        </w:rPr>
        <w:t>表4.6</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zh-CN"/>
        </w:rPr>
        <w:t>2</w:t>
      </w:r>
      <w:r>
        <w:rPr>
          <w:rFonts w:hint="eastAsia" w:ascii="Times New Roman" w:hAnsi="Times New Roman" w:cs="Times New Roman"/>
          <w:color w:val="auto"/>
          <w:highlight w:val="none"/>
          <w:lang w:val="en-US" w:eastAsia="zh-CN"/>
        </w:rPr>
        <w:t>.1-1</w:t>
      </w:r>
      <w:r>
        <w:rPr>
          <w:rFonts w:hint="eastAsia" w:ascii="Times New Roman" w:hAnsi="Times New Roman" w:cs="Times New Roman"/>
          <w:color w:val="auto"/>
          <w:highlight w:val="none"/>
          <w:lang w:val="zh-CN"/>
        </w:rPr>
        <w:t xml:space="preserve">   </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val="zh-CN"/>
        </w:rPr>
        <w:t>《声环境质量标准》</w:t>
      </w:r>
      <w:r>
        <w:rPr>
          <w:rFonts w:hint="eastAsia" w:ascii="Times New Roman" w:hAnsi="Times New Roman" w:cs="Times New Roman"/>
          <w:color w:val="auto"/>
          <w:highlight w:val="none"/>
          <w:lang w:val="zh-CN" w:eastAsia="zh-CN"/>
        </w:rPr>
        <w:t>（</w:t>
      </w:r>
      <w:r>
        <w:rPr>
          <w:rFonts w:hint="eastAsia" w:ascii="Times New Roman" w:hAnsi="Times New Roman" w:cs="Times New Roman"/>
          <w:color w:val="auto"/>
          <w:highlight w:val="none"/>
          <w:lang w:val="zh-CN"/>
        </w:rPr>
        <w:t>GB3096-2008）中的</w:t>
      </w:r>
      <w:r>
        <w:rPr>
          <w:rFonts w:hint="eastAsia" w:cs="Times New Roman"/>
          <w:color w:val="auto"/>
          <w:highlight w:val="none"/>
          <w:lang w:val="en-US" w:eastAsia="zh-CN"/>
        </w:rPr>
        <w:t>3</w:t>
      </w:r>
      <w:r>
        <w:rPr>
          <w:rFonts w:hint="eastAsia" w:ascii="Times New Roman" w:hAnsi="Times New Roman" w:cs="Times New Roman"/>
          <w:color w:val="auto"/>
          <w:highlight w:val="none"/>
          <w:lang w:val="zh-CN"/>
        </w:rPr>
        <w:t>类标准</w:t>
      </w:r>
    </w:p>
    <w:tbl>
      <w:tblPr>
        <w:tblStyle w:val="23"/>
        <w:tblW w:w="92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5"/>
        <w:gridCol w:w="1571"/>
        <w:gridCol w:w="2721"/>
        <w:gridCol w:w="27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275" w:type="dxa"/>
            <w:vMerge w:val="restart"/>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声环境功能区类别</w:t>
            </w:r>
          </w:p>
        </w:tc>
        <w:tc>
          <w:tcPr>
            <w:tcW w:w="1571" w:type="dxa"/>
            <w:vMerge w:val="restart"/>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单位</w:t>
            </w:r>
          </w:p>
        </w:tc>
        <w:tc>
          <w:tcPr>
            <w:tcW w:w="5444" w:type="dxa"/>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275"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1571"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p>
        </w:tc>
        <w:tc>
          <w:tcPr>
            <w:tcW w:w="2721"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昼间</w:t>
            </w:r>
          </w:p>
        </w:tc>
        <w:tc>
          <w:tcPr>
            <w:tcW w:w="2723"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ascii="Times New Roman" w:hAnsi="Times New Roman" w:eastAsia="宋体" w:cs="Times New Roman"/>
                <w:color w:val="auto"/>
                <w:spacing w:val="0"/>
                <w:w w:val="100"/>
                <w:position w:val="0"/>
                <w:sz w:val="21"/>
                <w:szCs w:val="21"/>
                <w:highlight w:val="none"/>
                <w:lang w:val="zh-CN" w:bidi="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275"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bidi="zh-CN"/>
              </w:rPr>
            </w:pPr>
            <w:r>
              <w:rPr>
                <w:rFonts w:hint="eastAsia" w:cs="Times New Roman"/>
                <w:color w:val="auto"/>
                <w:spacing w:val="0"/>
                <w:w w:val="100"/>
                <w:position w:val="0"/>
                <w:sz w:val="21"/>
                <w:szCs w:val="21"/>
                <w:highlight w:val="none"/>
                <w:lang w:val="en-US" w:bidi="zh-CN"/>
              </w:rPr>
              <w:t>3</w:t>
            </w:r>
            <w:r>
              <w:rPr>
                <w:rFonts w:hint="eastAsia" w:ascii="Times New Roman" w:hAnsi="Times New Roman" w:eastAsia="宋体" w:cs="Times New Roman"/>
                <w:color w:val="auto"/>
                <w:spacing w:val="0"/>
                <w:w w:val="100"/>
                <w:position w:val="0"/>
                <w:sz w:val="21"/>
                <w:szCs w:val="21"/>
                <w:highlight w:val="none"/>
                <w:lang w:val="zh-CN" w:bidi="zh-CN"/>
              </w:rPr>
              <w:t>类</w:t>
            </w:r>
          </w:p>
        </w:tc>
        <w:tc>
          <w:tcPr>
            <w:tcW w:w="1571"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eastAsia="zh-CN" w:bidi="zh-CN"/>
              </w:rPr>
            </w:pPr>
            <w:r>
              <w:rPr>
                <w:rFonts w:hint="eastAsia" w:ascii="Times New Roman" w:hAnsi="Times New Roman" w:eastAsia="宋体" w:cs="Times New Roman"/>
                <w:color w:val="auto"/>
                <w:spacing w:val="0"/>
                <w:w w:val="100"/>
                <w:position w:val="0"/>
                <w:sz w:val="21"/>
                <w:szCs w:val="21"/>
                <w:highlight w:val="none"/>
                <w:lang w:val="zh-CN" w:bidi="zh-CN"/>
              </w:rPr>
              <w:t>dB</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eastAsia" w:ascii="Times New Roman" w:hAnsi="Times New Roman" w:eastAsia="宋体" w:cs="Times New Roman"/>
                <w:color w:val="auto"/>
                <w:spacing w:val="0"/>
                <w:w w:val="100"/>
                <w:position w:val="0"/>
                <w:sz w:val="21"/>
                <w:szCs w:val="21"/>
                <w:highlight w:val="none"/>
                <w:lang w:val="zh-CN" w:bidi="zh-CN"/>
              </w:rPr>
              <w:t>A</w:t>
            </w:r>
            <w:r>
              <w:rPr>
                <w:rFonts w:hint="eastAsia" w:ascii="Times New Roman" w:hAnsi="Times New Roman" w:eastAsia="宋体" w:cs="Times New Roman"/>
                <w:color w:val="auto"/>
                <w:spacing w:val="0"/>
                <w:w w:val="100"/>
                <w:position w:val="0"/>
                <w:sz w:val="21"/>
                <w:szCs w:val="21"/>
                <w:highlight w:val="none"/>
                <w:lang w:val="zh-CN" w:eastAsia="zh-CN" w:bidi="zh-CN"/>
              </w:rPr>
              <w:t>）</w:t>
            </w:r>
          </w:p>
        </w:tc>
        <w:tc>
          <w:tcPr>
            <w:tcW w:w="2721"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bidi="zh-CN"/>
              </w:rPr>
            </w:pPr>
            <w:r>
              <w:rPr>
                <w:rFonts w:hint="eastAsia" w:cs="Times New Roman"/>
                <w:color w:val="auto"/>
                <w:spacing w:val="0"/>
                <w:w w:val="100"/>
                <w:position w:val="0"/>
                <w:sz w:val="21"/>
                <w:szCs w:val="21"/>
                <w:highlight w:val="none"/>
                <w:lang w:val="en-US" w:bidi="zh-CN"/>
              </w:rPr>
              <w:t>65</w:t>
            </w:r>
          </w:p>
        </w:tc>
        <w:tc>
          <w:tcPr>
            <w:tcW w:w="2723" w:type="dxa"/>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bidi="zh-CN"/>
              </w:rPr>
            </w:pPr>
            <w:r>
              <w:rPr>
                <w:rFonts w:hint="eastAsia" w:cs="Times New Roman"/>
                <w:color w:val="auto"/>
                <w:spacing w:val="0"/>
                <w:w w:val="100"/>
                <w:position w:val="0"/>
                <w:sz w:val="21"/>
                <w:szCs w:val="21"/>
                <w:highlight w:val="none"/>
                <w:lang w:val="en-US" w:bidi="zh-CN"/>
              </w:rPr>
              <w:t>55</w:t>
            </w:r>
          </w:p>
        </w:tc>
      </w:tr>
    </w:tbl>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bookmarkStart w:id="964" w:name="_Toc29830"/>
      <w:bookmarkStart w:id="965" w:name="_Toc19720"/>
      <w:bookmarkStart w:id="966" w:name="_Toc14651"/>
      <w:bookmarkStart w:id="967" w:name="_Toc21706"/>
      <w:bookmarkStart w:id="968" w:name="_Toc28239"/>
      <w:bookmarkStart w:id="969" w:name="_Toc17431"/>
      <w:bookmarkStart w:id="970" w:name="_Toc7409"/>
      <w:r>
        <w:rPr>
          <w:rFonts w:hint="eastAsia" w:ascii="Times New Roman" w:hAnsi="Times New Roman" w:eastAsia="宋体" w:cs="Times New Roman"/>
          <w:b/>
          <w:bCs/>
          <w:color w:val="auto"/>
          <w:szCs w:val="20"/>
          <w:highlight w:val="none"/>
          <w:lang w:val="en-US" w:eastAsia="zh-CN" w:bidi="ar-SA"/>
        </w:rPr>
        <w:t>4.6.2.2评价结果</w:t>
      </w:r>
      <w:bookmarkEnd w:id="964"/>
      <w:bookmarkEnd w:id="965"/>
      <w:bookmarkEnd w:id="966"/>
      <w:bookmarkEnd w:id="967"/>
      <w:bookmarkEnd w:id="968"/>
      <w:bookmarkEnd w:id="969"/>
      <w:bookmarkEnd w:id="970"/>
    </w:p>
    <w:p>
      <w:pPr>
        <w:bidi w:val="0"/>
        <w:rPr>
          <w:color w:val="auto"/>
          <w:highlight w:val="none"/>
        </w:rPr>
      </w:pPr>
      <w:r>
        <w:rPr>
          <w:color w:val="auto"/>
          <w:highlight w:val="none"/>
        </w:rPr>
        <w:t>由监测结果表可知，噪声昼间在</w:t>
      </w:r>
      <w:r>
        <w:rPr>
          <w:rFonts w:hint="eastAsia"/>
          <w:color w:val="auto"/>
          <w:highlight w:val="none"/>
          <w:lang w:val="en-US" w:eastAsia="zh-CN"/>
        </w:rPr>
        <w:t>51.3-55.3</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之间，夜间在</w:t>
      </w:r>
      <w:r>
        <w:rPr>
          <w:rFonts w:hint="eastAsia"/>
          <w:color w:val="auto"/>
          <w:highlight w:val="none"/>
          <w:lang w:val="en-US" w:eastAsia="zh-CN"/>
        </w:rPr>
        <w:t>40.6-45.7</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之间，与表4.6-2对照可以看出，本项目厂界满足《声环境质量标准》</w:t>
      </w:r>
      <w:r>
        <w:rPr>
          <w:rFonts w:hint="eastAsia"/>
          <w:color w:val="auto"/>
          <w:highlight w:val="none"/>
          <w:lang w:eastAsia="zh-CN"/>
        </w:rPr>
        <w:t>（</w:t>
      </w:r>
      <w:r>
        <w:rPr>
          <w:color w:val="auto"/>
          <w:highlight w:val="none"/>
        </w:rPr>
        <w:t>GB3096-2008）中的</w:t>
      </w:r>
      <w:r>
        <w:rPr>
          <w:rFonts w:hint="eastAsia"/>
          <w:color w:val="auto"/>
          <w:highlight w:val="none"/>
          <w:lang w:val="en-US" w:eastAsia="zh-CN"/>
        </w:rPr>
        <w:t>3</w:t>
      </w:r>
      <w:r>
        <w:rPr>
          <w:color w:val="auto"/>
          <w:highlight w:val="none"/>
        </w:rPr>
        <w:t>类标准：昼间6</w:t>
      </w:r>
      <w:r>
        <w:rPr>
          <w:rFonts w:hint="eastAsia"/>
          <w:color w:val="auto"/>
          <w:highlight w:val="none"/>
          <w:lang w:val="en-US" w:eastAsia="zh-CN"/>
        </w:rPr>
        <w:t>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，夜间5</w:t>
      </w:r>
      <w:r>
        <w:rPr>
          <w:rFonts w:hint="eastAsia"/>
          <w:color w:val="auto"/>
          <w:highlight w:val="none"/>
          <w:lang w:val="en-US" w:eastAsia="zh-CN"/>
        </w:rPr>
        <w:t>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w:t>
      </w:r>
    </w:p>
    <w:p>
      <w:pPr>
        <w:pStyle w:val="6"/>
        <w:bidi w:val="0"/>
        <w:outlineLvl w:val="1"/>
        <w:rPr>
          <w:rFonts w:hint="default"/>
          <w:color w:val="auto"/>
          <w:highlight w:val="none"/>
        </w:rPr>
      </w:pPr>
      <w:bookmarkStart w:id="971" w:name="_Toc67860175"/>
      <w:bookmarkStart w:id="972" w:name="_Toc57976710"/>
      <w:bookmarkStart w:id="973" w:name="_Toc17830"/>
      <w:bookmarkStart w:id="974" w:name="_Toc29644705"/>
      <w:bookmarkStart w:id="975" w:name="_Toc70050224"/>
      <w:bookmarkStart w:id="976" w:name="_Toc34124487"/>
      <w:bookmarkStart w:id="977" w:name="_Toc41655203"/>
      <w:bookmarkStart w:id="978" w:name="_Toc28926"/>
      <w:bookmarkStart w:id="979" w:name="_Toc38545059"/>
      <w:bookmarkStart w:id="980" w:name="_Toc38296426"/>
      <w:bookmarkStart w:id="981" w:name="_Toc57707958"/>
      <w:bookmarkStart w:id="982" w:name="_Toc61597274"/>
      <w:bookmarkStart w:id="983" w:name="_Toc29642921"/>
      <w:bookmarkStart w:id="984" w:name="_Toc57203288"/>
      <w:bookmarkStart w:id="985" w:name="_Toc29643953"/>
      <w:bookmarkStart w:id="986" w:name="_Toc1114"/>
      <w:r>
        <w:rPr>
          <w:rFonts w:hint="default"/>
          <w:color w:val="auto"/>
          <w:highlight w:val="none"/>
        </w:rPr>
        <w:t>4.</w:t>
      </w:r>
      <w:r>
        <w:rPr>
          <w:rFonts w:hint="eastAsia"/>
          <w:color w:val="auto"/>
          <w:highlight w:val="none"/>
          <w:lang w:val="en-US" w:eastAsia="zh-CN"/>
        </w:rPr>
        <w:t>7</w:t>
      </w:r>
      <w:r>
        <w:rPr>
          <w:rFonts w:hint="default"/>
          <w:color w:val="auto"/>
          <w:highlight w:val="none"/>
        </w:rPr>
        <w:t>土壤质量现状监测与评价</w:t>
      </w:r>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p>
    <w:p>
      <w:pPr>
        <w:pStyle w:val="7"/>
        <w:keepNext/>
        <w:keepLines/>
        <w:numPr>
          <w:ilvl w:val="0"/>
          <w:numId w:val="0"/>
        </w:numPr>
        <w:autoSpaceDE/>
        <w:autoSpaceDN/>
        <w:bidi w:val="0"/>
        <w:spacing w:before="0" w:after="0" w:line="500" w:lineRule="exact"/>
        <w:ind w:right="0" w:firstLine="0" w:firstLineChars="0"/>
        <w:jc w:val="both"/>
        <w:outlineLvl w:val="2"/>
        <w:rPr>
          <w:rFonts w:hint="default" w:ascii="Times New Roman" w:hAnsi="Times New Roman" w:eastAsia="宋体" w:cs="Times New Roman"/>
          <w:bCs w:val="0"/>
          <w:color w:val="auto"/>
          <w:szCs w:val="20"/>
          <w:highlight w:val="none"/>
          <w:lang w:val="en-US" w:eastAsia="zh-CN" w:bidi="ar-SA"/>
        </w:rPr>
      </w:pPr>
      <w:bookmarkStart w:id="987" w:name="_Toc11549"/>
      <w:r>
        <w:rPr>
          <w:rFonts w:hint="default" w:ascii="Times New Roman" w:hAnsi="Times New Roman" w:eastAsia="宋体" w:cs="Times New Roman"/>
          <w:bCs w:val="0"/>
          <w:color w:val="auto"/>
          <w:szCs w:val="20"/>
          <w:highlight w:val="none"/>
          <w:lang w:val="en-US" w:eastAsia="zh-CN" w:bidi="ar-SA"/>
        </w:rPr>
        <w:t>4.</w:t>
      </w:r>
      <w:r>
        <w:rPr>
          <w:rFonts w:hint="eastAsia" w:ascii="Times New Roman" w:hAnsi="Times New Roman" w:cs="Times New Roman"/>
          <w:bCs w:val="0"/>
          <w:color w:val="auto"/>
          <w:szCs w:val="20"/>
          <w:highlight w:val="none"/>
          <w:lang w:val="en-US" w:eastAsia="zh-CN" w:bidi="ar-SA"/>
        </w:rPr>
        <w:t>7</w:t>
      </w:r>
      <w:r>
        <w:rPr>
          <w:rFonts w:hint="eastAsia" w:ascii="Times New Roman" w:hAnsi="Times New Roman" w:eastAsia="宋体" w:cs="Times New Roman"/>
          <w:bCs w:val="0"/>
          <w:color w:val="auto"/>
          <w:szCs w:val="20"/>
          <w:highlight w:val="none"/>
          <w:lang w:val="en-US" w:eastAsia="zh-CN" w:bidi="ar-SA"/>
        </w:rPr>
        <w:t>.1</w:t>
      </w:r>
      <w:r>
        <w:rPr>
          <w:rFonts w:hint="default" w:ascii="Times New Roman" w:hAnsi="Times New Roman" w:eastAsia="宋体" w:cs="Times New Roman"/>
          <w:bCs w:val="0"/>
          <w:color w:val="auto"/>
          <w:szCs w:val="20"/>
          <w:highlight w:val="none"/>
          <w:lang w:val="en-US" w:eastAsia="zh-CN" w:bidi="ar-SA"/>
        </w:rPr>
        <w:t>土壤环境质量现状监测</w:t>
      </w:r>
      <w:bookmarkEnd w:id="987"/>
    </w:p>
    <w:p>
      <w:pPr>
        <w:bidi w:val="0"/>
        <w:rPr>
          <w:rFonts w:hint="default" w:ascii="Times New Roman" w:hAnsi="Times New Roman" w:cs="Times New Roman"/>
          <w:color w:val="auto"/>
          <w:highlight w:val="none"/>
        </w:rPr>
      </w:pPr>
      <w:r>
        <w:rPr>
          <w:rFonts w:hint="eastAsia"/>
          <w:color w:val="auto"/>
          <w:highlight w:val="none"/>
          <w:lang w:eastAsia="zh-CN"/>
        </w:rPr>
        <w:t>（</w:t>
      </w:r>
      <w:r>
        <w:rPr>
          <w:rFonts w:hint="default" w:ascii="Times New Roman" w:hAnsi="Times New Roman" w:cs="Times New Roman"/>
          <w:color w:val="auto"/>
          <w:highlight w:val="none"/>
        </w:rPr>
        <w:t>1）采样点布设</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本项目土壤环境影响类型属于污染影响型项目，评价等级为</w:t>
      </w:r>
      <w:r>
        <w:rPr>
          <w:rFonts w:hint="eastAsia" w:ascii="Times New Roman" w:cs="Times New Roman"/>
          <w:color w:val="auto"/>
          <w:highlight w:val="none"/>
          <w:lang w:val="en-US" w:eastAsia="zh-CN"/>
        </w:rPr>
        <w:t>三</w:t>
      </w:r>
      <w:r>
        <w:rPr>
          <w:rFonts w:hint="default" w:ascii="Times New Roman" w:hAnsi="Times New Roman" w:cs="Times New Roman"/>
          <w:color w:val="auto"/>
          <w:highlight w:val="none"/>
        </w:rPr>
        <w:t>级，确定本项目占地范围内共布设</w:t>
      </w:r>
      <w:r>
        <w:rPr>
          <w:rFonts w:hint="eastAsia" w:ascii="Times New Roman" w:cs="Times New Roman"/>
          <w:color w:val="auto"/>
          <w:highlight w:val="none"/>
          <w:lang w:val="en-US" w:eastAsia="zh-CN"/>
        </w:rPr>
        <w:t>3</w:t>
      </w:r>
      <w:r>
        <w:rPr>
          <w:rFonts w:hint="default" w:ascii="Times New Roman" w:hAnsi="Times New Roman" w:cs="Times New Roman"/>
          <w:color w:val="auto"/>
          <w:highlight w:val="none"/>
        </w:rPr>
        <w:t>个表层样监测点，土壤现状监测点位详见表</w:t>
      </w:r>
      <w:r>
        <w:rPr>
          <w:rFonts w:hint="eastAsia" w:ascii="Times New Roman" w:hAnsi="Times New Roman" w:cs="Times New Roman"/>
          <w:color w:val="auto"/>
          <w:highlight w:val="none"/>
          <w:lang w:val="en-US" w:eastAsia="zh-CN"/>
        </w:rPr>
        <w:t>4.</w:t>
      </w:r>
      <w:r>
        <w:rPr>
          <w:rFonts w:hint="eastAsia" w:cs="Times New Roman"/>
          <w:color w:val="auto"/>
          <w:highlight w:val="none"/>
          <w:lang w:val="en-US" w:eastAsia="zh-CN"/>
        </w:rPr>
        <w:t>7</w:t>
      </w:r>
      <w:r>
        <w:rPr>
          <w:rFonts w:hint="eastAsia" w:ascii="Times New Roman" w:hAnsi="Times New Roman" w:cs="Times New Roman"/>
          <w:color w:val="auto"/>
          <w:highlight w:val="none"/>
          <w:lang w:val="en-US" w:eastAsia="zh-CN"/>
        </w:rPr>
        <w:t>.1-1，监测点位见图4.</w:t>
      </w:r>
      <w:r>
        <w:rPr>
          <w:rFonts w:hint="eastAsia" w:cs="Times New Roman"/>
          <w:color w:val="auto"/>
          <w:highlight w:val="none"/>
          <w:lang w:val="en-US" w:eastAsia="zh-CN"/>
        </w:rPr>
        <w:t>7</w:t>
      </w:r>
      <w:r>
        <w:rPr>
          <w:rFonts w:hint="eastAsia" w:ascii="Times New Roman" w:hAnsi="Times New Roman" w:cs="Times New Roman"/>
          <w:color w:val="auto"/>
          <w:highlight w:val="none"/>
          <w:lang w:val="en-US" w:eastAsia="zh-CN"/>
        </w:rPr>
        <w:t>.1-1</w:t>
      </w:r>
      <w:r>
        <w:rPr>
          <w:rFonts w:hint="default" w:ascii="Times New Roman" w:hAnsi="Times New Roman" w:cs="Times New Roman"/>
          <w:color w:val="auto"/>
          <w:highlight w:val="none"/>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w:t>
      </w:r>
      <w:r>
        <w:rPr>
          <w:rFonts w:hint="eastAsia" w:cs="Times New Roman"/>
          <w:color w:val="auto"/>
          <w:highlight w:val="none"/>
          <w:lang w:val="en-US" w:eastAsia="zh-CN"/>
        </w:rPr>
        <w:t>7</w:t>
      </w:r>
      <w:r>
        <w:rPr>
          <w:rFonts w:hint="eastAsia" w:ascii="Times New Roman" w:hAnsi="Times New Roman" w:cs="Times New Roman"/>
          <w:color w:val="auto"/>
          <w:highlight w:val="none"/>
          <w:lang w:val="en-US" w:eastAsia="zh-CN"/>
        </w:rPr>
        <w:t>.1-1</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土壤现状监测点位</w:t>
      </w:r>
    </w:p>
    <w:tbl>
      <w:tblPr>
        <w:tblStyle w:val="23"/>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2012"/>
        <w:gridCol w:w="1887"/>
        <w:gridCol w:w="1850"/>
        <w:gridCol w:w="28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编号</w:t>
            </w:r>
          </w:p>
        </w:tc>
        <w:tc>
          <w:tcPr>
            <w:tcW w:w="201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监测点名称</w:t>
            </w:r>
          </w:p>
        </w:tc>
        <w:tc>
          <w:tcPr>
            <w:tcW w:w="188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坐标</w:t>
            </w:r>
          </w:p>
        </w:tc>
        <w:tc>
          <w:tcPr>
            <w:tcW w:w="185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执行标准</w:t>
            </w:r>
          </w:p>
        </w:tc>
        <w:tc>
          <w:tcPr>
            <w:tcW w:w="28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1</w:t>
            </w:r>
          </w:p>
        </w:tc>
        <w:tc>
          <w:tcPr>
            <w:tcW w:w="201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eastAsia="zh-CN" w:bidi="zh-CN"/>
              </w:rPr>
            </w:pPr>
            <w:r>
              <w:rPr>
                <w:rFonts w:hint="default" w:ascii="Times New Roman" w:hAnsi="Times New Roman" w:eastAsia="宋体" w:cs="Times New Roman"/>
                <w:color w:val="auto"/>
                <w:spacing w:val="0"/>
                <w:w w:val="100"/>
                <w:position w:val="0"/>
                <w:sz w:val="21"/>
                <w:szCs w:val="21"/>
                <w:highlight w:val="none"/>
                <w:lang w:val="zh-CN" w:bidi="zh-CN"/>
              </w:rPr>
              <w:t>1#</w:t>
            </w:r>
            <w:r>
              <w:rPr>
                <w:rFonts w:hint="eastAsia" w:ascii="Times New Roman" w:hAnsi="Times New Roman" w:eastAsia="宋体" w:cs="Times New Roman"/>
                <w:color w:val="auto"/>
                <w:spacing w:val="0"/>
                <w:w w:val="100"/>
                <w:position w:val="0"/>
                <w:sz w:val="21"/>
                <w:szCs w:val="21"/>
                <w:highlight w:val="none"/>
                <w:lang w:val="zh-CN" w:eastAsia="zh-CN" w:bidi="zh-CN"/>
              </w:rPr>
              <w:t>项目厂址西北角</w:t>
            </w:r>
          </w:p>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eastAsia="zh-CN" w:bidi="zh-CN"/>
              </w:rPr>
            </w:pPr>
            <w:r>
              <w:rPr>
                <w:rFonts w:hint="default" w:ascii="Times New Roman" w:hAnsi="Times New Roman" w:eastAsia="宋体" w:cs="Times New Roman"/>
                <w:color w:val="auto"/>
                <w:spacing w:val="0"/>
                <w:w w:val="100"/>
                <w:position w:val="0"/>
                <w:sz w:val="21"/>
                <w:szCs w:val="21"/>
                <w:highlight w:val="none"/>
                <w:lang w:val="zh-CN" w:bidi="zh-CN"/>
              </w:rPr>
              <w:t>占地范围内</w:t>
            </w:r>
          </w:p>
        </w:tc>
        <w:tc>
          <w:tcPr>
            <w:tcW w:w="188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eastAsia="宋体" w:cs="Times New Roman"/>
                <w:color w:val="auto"/>
                <w:spacing w:val="0"/>
                <w:w w:val="100"/>
                <w:position w:val="0"/>
                <w:sz w:val="21"/>
                <w:szCs w:val="21"/>
                <w:highlight w:val="none"/>
                <w:lang w:val="en-US" w:eastAsia="zh-CN" w:bidi="zh-CN"/>
              </w:rPr>
              <w:t>124.71636</w:t>
            </w:r>
            <w:r>
              <w:rPr>
                <w:rFonts w:hint="eastAsia" w:ascii="Times New Roman" w:hAnsi="Times New Roman" w:eastAsia="宋体" w:cs="Times New Roman"/>
                <w:color w:val="auto"/>
                <w:spacing w:val="0"/>
                <w:w w:val="100"/>
                <w:position w:val="0"/>
                <w:sz w:val="21"/>
                <w:szCs w:val="21"/>
                <w:highlight w:val="none"/>
                <w:lang w:val="en-US" w:eastAsia="zh-CN" w:bidi="zh-CN"/>
              </w:rPr>
              <w:t xml:space="preserve">  45.92514</w:t>
            </w:r>
          </w:p>
        </w:tc>
        <w:tc>
          <w:tcPr>
            <w:tcW w:w="185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《土壤环境质量 建设用地土壤污染风险管控标准</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default" w:ascii="Times New Roman" w:hAnsi="Times New Roman" w:eastAsia="宋体" w:cs="Times New Roman"/>
                <w:color w:val="auto"/>
                <w:spacing w:val="0"/>
                <w:w w:val="100"/>
                <w:position w:val="0"/>
                <w:sz w:val="21"/>
                <w:szCs w:val="21"/>
                <w:highlight w:val="none"/>
                <w:lang w:val="zh-CN" w:bidi="zh-CN"/>
              </w:rPr>
              <w:t>试行）》</w:t>
            </w:r>
            <w:r>
              <w:rPr>
                <w:rFonts w:hint="eastAsia" w:ascii="Times New Roman" w:hAnsi="Times New Roman" w:eastAsia="宋体" w:cs="Times New Roman"/>
                <w:color w:val="auto"/>
                <w:spacing w:val="0"/>
                <w:w w:val="100"/>
                <w:position w:val="0"/>
                <w:sz w:val="21"/>
                <w:szCs w:val="21"/>
                <w:highlight w:val="none"/>
                <w:lang w:val="zh-CN" w:eastAsia="zh-CN" w:bidi="zh-CN"/>
              </w:rPr>
              <w:t>（</w:t>
            </w:r>
            <w:r>
              <w:rPr>
                <w:rFonts w:hint="default" w:ascii="Times New Roman" w:hAnsi="Times New Roman" w:eastAsia="宋体" w:cs="Times New Roman"/>
                <w:color w:val="auto"/>
                <w:spacing w:val="0"/>
                <w:w w:val="100"/>
                <w:position w:val="0"/>
                <w:sz w:val="21"/>
                <w:szCs w:val="21"/>
                <w:highlight w:val="none"/>
                <w:lang w:val="zh-CN" w:bidi="zh-CN"/>
              </w:rPr>
              <w:t>GB36600-2018）</w:t>
            </w:r>
          </w:p>
        </w:tc>
        <w:tc>
          <w:tcPr>
            <w:tcW w:w="28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采取表层样，在0~0.2m取样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2</w:t>
            </w:r>
          </w:p>
        </w:tc>
        <w:tc>
          <w:tcPr>
            <w:tcW w:w="201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eastAsia="zh-CN" w:bidi="zh-CN"/>
              </w:rPr>
            </w:pPr>
            <w:r>
              <w:rPr>
                <w:rFonts w:hint="eastAsia" w:ascii="Times New Roman" w:hAnsi="Times New Roman" w:eastAsia="宋体" w:cs="Times New Roman"/>
                <w:color w:val="auto"/>
                <w:spacing w:val="0"/>
                <w:w w:val="100"/>
                <w:position w:val="0"/>
                <w:sz w:val="21"/>
                <w:szCs w:val="21"/>
                <w:highlight w:val="none"/>
                <w:lang w:val="en-US" w:eastAsia="zh-CN" w:bidi="zh-CN"/>
              </w:rPr>
              <w:t>2</w:t>
            </w:r>
            <w:r>
              <w:rPr>
                <w:rFonts w:hint="default" w:ascii="Times New Roman" w:hAnsi="Times New Roman" w:eastAsia="宋体" w:cs="Times New Roman"/>
                <w:color w:val="auto"/>
                <w:spacing w:val="0"/>
                <w:w w:val="100"/>
                <w:position w:val="0"/>
                <w:sz w:val="21"/>
                <w:szCs w:val="21"/>
                <w:highlight w:val="none"/>
                <w:lang w:val="zh-CN" w:bidi="zh-CN"/>
              </w:rPr>
              <w:t>#</w:t>
            </w:r>
            <w:r>
              <w:rPr>
                <w:rFonts w:hint="eastAsia" w:ascii="Times New Roman" w:hAnsi="Times New Roman" w:eastAsia="宋体" w:cs="Times New Roman"/>
                <w:color w:val="auto"/>
                <w:spacing w:val="0"/>
                <w:w w:val="100"/>
                <w:position w:val="0"/>
                <w:sz w:val="21"/>
                <w:szCs w:val="21"/>
                <w:highlight w:val="none"/>
                <w:lang w:val="zh-CN" w:eastAsia="zh-CN" w:bidi="zh-CN"/>
              </w:rPr>
              <w:t>生产车间旁</w:t>
            </w:r>
          </w:p>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占地范围内</w:t>
            </w:r>
          </w:p>
        </w:tc>
        <w:tc>
          <w:tcPr>
            <w:tcW w:w="188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124.71687</w:t>
            </w:r>
            <w:r>
              <w:rPr>
                <w:rFonts w:hint="eastAsia" w:ascii="Times New Roman" w:hAnsi="Times New Roman" w:eastAsia="宋体" w:cs="Times New Roman"/>
                <w:color w:val="auto"/>
                <w:spacing w:val="0"/>
                <w:w w:val="100"/>
                <w:position w:val="0"/>
                <w:sz w:val="21"/>
                <w:szCs w:val="21"/>
                <w:highlight w:val="none"/>
                <w:lang w:val="en-US" w:eastAsia="zh-CN" w:bidi="zh-CN"/>
              </w:rPr>
              <w:t xml:space="preserve">  45.92472</w:t>
            </w:r>
          </w:p>
        </w:tc>
        <w:tc>
          <w:tcPr>
            <w:tcW w:w="185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8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采取表层样，在0~0.2m取样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eastAsia" w:ascii="Times New Roman" w:cs="Times New Roman"/>
                <w:color w:val="auto"/>
                <w:spacing w:val="0"/>
                <w:w w:val="100"/>
                <w:position w:val="0"/>
                <w:sz w:val="21"/>
                <w:szCs w:val="21"/>
                <w:highlight w:val="none"/>
                <w:lang w:val="en-US" w:bidi="zh-CN"/>
              </w:rPr>
              <w:t>3</w:t>
            </w:r>
          </w:p>
        </w:tc>
        <w:tc>
          <w:tcPr>
            <w:tcW w:w="201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eastAsia" w:ascii="Times New Roman" w:hAnsi="Times New Roman" w:eastAsia="宋体" w:cs="Times New Roman"/>
                <w:color w:val="auto"/>
                <w:spacing w:val="0"/>
                <w:w w:val="100"/>
                <w:position w:val="0"/>
                <w:sz w:val="21"/>
                <w:szCs w:val="21"/>
                <w:highlight w:val="none"/>
                <w:lang w:val="zh-CN" w:eastAsia="zh-CN" w:bidi="zh-CN"/>
              </w:rPr>
            </w:pPr>
            <w:r>
              <w:rPr>
                <w:rFonts w:hint="eastAsia" w:ascii="Times New Roman" w:cs="Times New Roman"/>
                <w:color w:val="auto"/>
                <w:spacing w:val="0"/>
                <w:w w:val="100"/>
                <w:position w:val="0"/>
                <w:sz w:val="21"/>
                <w:szCs w:val="21"/>
                <w:highlight w:val="none"/>
                <w:lang w:val="en-US" w:eastAsia="zh-CN" w:bidi="zh-CN"/>
              </w:rPr>
              <w:t>3</w:t>
            </w:r>
            <w:r>
              <w:rPr>
                <w:rFonts w:hint="default" w:ascii="Times New Roman" w:hAnsi="Times New Roman" w:eastAsia="宋体" w:cs="Times New Roman"/>
                <w:color w:val="auto"/>
                <w:spacing w:val="0"/>
                <w:w w:val="100"/>
                <w:position w:val="0"/>
                <w:sz w:val="21"/>
                <w:szCs w:val="21"/>
                <w:highlight w:val="none"/>
                <w:lang w:val="zh-CN" w:bidi="zh-CN"/>
              </w:rPr>
              <w:t>#</w:t>
            </w:r>
            <w:r>
              <w:rPr>
                <w:rFonts w:hint="eastAsia" w:ascii="Times New Roman" w:hAnsi="Times New Roman" w:eastAsia="宋体" w:cs="Times New Roman"/>
                <w:color w:val="auto"/>
                <w:spacing w:val="0"/>
                <w:w w:val="100"/>
                <w:position w:val="0"/>
                <w:sz w:val="21"/>
                <w:szCs w:val="21"/>
                <w:highlight w:val="none"/>
                <w:lang w:val="zh-CN" w:eastAsia="zh-CN" w:bidi="zh-CN"/>
              </w:rPr>
              <w:t>项目厂址南侧</w:t>
            </w:r>
          </w:p>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eastAsia="zh-CN" w:bidi="zh-CN"/>
              </w:rPr>
            </w:pPr>
            <w:r>
              <w:rPr>
                <w:rFonts w:hint="eastAsia" w:ascii="Times New Roman" w:hAnsi="Times New Roman" w:eastAsia="宋体" w:cs="Times New Roman"/>
                <w:color w:val="auto"/>
                <w:spacing w:val="0"/>
                <w:w w:val="100"/>
                <w:position w:val="0"/>
                <w:sz w:val="21"/>
                <w:szCs w:val="21"/>
                <w:highlight w:val="none"/>
                <w:lang w:val="zh-CN" w:eastAsia="zh-CN" w:bidi="zh-CN"/>
              </w:rPr>
              <w:t>占地范围内</w:t>
            </w:r>
          </w:p>
        </w:tc>
        <w:tc>
          <w:tcPr>
            <w:tcW w:w="1887"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en-US" w:eastAsia="zh-CN" w:bidi="zh-CN"/>
              </w:rPr>
            </w:pPr>
            <w:r>
              <w:rPr>
                <w:rFonts w:hint="default" w:ascii="Times New Roman" w:hAnsi="Times New Roman" w:eastAsia="宋体" w:cs="Times New Roman"/>
                <w:color w:val="auto"/>
                <w:spacing w:val="0"/>
                <w:w w:val="100"/>
                <w:position w:val="0"/>
                <w:sz w:val="21"/>
                <w:szCs w:val="21"/>
                <w:highlight w:val="none"/>
                <w:lang w:val="en-US" w:eastAsia="zh-CN" w:bidi="zh-CN"/>
              </w:rPr>
              <w:t>124.71671</w:t>
            </w:r>
            <w:r>
              <w:rPr>
                <w:rFonts w:hint="eastAsia" w:ascii="Times New Roman" w:hAnsi="Times New Roman" w:eastAsia="宋体" w:cs="Times New Roman"/>
                <w:color w:val="auto"/>
                <w:spacing w:val="0"/>
                <w:w w:val="100"/>
                <w:position w:val="0"/>
                <w:sz w:val="21"/>
                <w:szCs w:val="21"/>
                <w:highlight w:val="none"/>
                <w:lang w:val="en-US" w:eastAsia="zh-CN" w:bidi="zh-CN"/>
              </w:rPr>
              <w:t xml:space="preserve">  45.92405</w:t>
            </w:r>
          </w:p>
        </w:tc>
        <w:tc>
          <w:tcPr>
            <w:tcW w:w="185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p>
        </w:tc>
        <w:tc>
          <w:tcPr>
            <w:tcW w:w="2832"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before="0" w:after="0" w:line="360" w:lineRule="exact"/>
              <w:ind w:left="0" w:right="0" w:firstLine="0" w:firstLineChars="0"/>
              <w:jc w:val="center"/>
              <w:textAlignment w:val="baseline"/>
              <w:rPr>
                <w:rFonts w:hint="default" w:ascii="Times New Roman" w:hAnsi="Times New Roman" w:eastAsia="宋体" w:cs="Times New Roman"/>
                <w:color w:val="auto"/>
                <w:spacing w:val="0"/>
                <w:w w:val="100"/>
                <w:position w:val="0"/>
                <w:sz w:val="21"/>
                <w:szCs w:val="21"/>
                <w:highlight w:val="none"/>
                <w:lang w:val="zh-CN" w:bidi="zh-CN"/>
              </w:rPr>
            </w:pPr>
            <w:r>
              <w:rPr>
                <w:rFonts w:hint="default" w:ascii="Times New Roman" w:hAnsi="Times New Roman" w:eastAsia="宋体" w:cs="Times New Roman"/>
                <w:color w:val="auto"/>
                <w:spacing w:val="0"/>
                <w:w w:val="100"/>
                <w:position w:val="0"/>
                <w:sz w:val="21"/>
                <w:szCs w:val="21"/>
                <w:highlight w:val="none"/>
                <w:lang w:val="zh-CN" w:bidi="zh-CN"/>
              </w:rPr>
              <w:t>采取柱状样，在0~0.</w:t>
            </w:r>
            <w:r>
              <w:rPr>
                <w:rFonts w:hint="eastAsia" w:ascii="Times New Roman" w:cs="Times New Roman"/>
                <w:color w:val="auto"/>
                <w:spacing w:val="0"/>
                <w:w w:val="100"/>
                <w:position w:val="0"/>
                <w:sz w:val="21"/>
                <w:szCs w:val="21"/>
                <w:highlight w:val="none"/>
                <w:lang w:val="en-US" w:bidi="zh-CN"/>
              </w:rPr>
              <w:t>2</w:t>
            </w:r>
            <w:r>
              <w:rPr>
                <w:rFonts w:hint="default" w:ascii="Times New Roman" w:hAnsi="Times New Roman" w:eastAsia="宋体" w:cs="Times New Roman"/>
                <w:color w:val="auto"/>
                <w:spacing w:val="0"/>
                <w:w w:val="100"/>
                <w:position w:val="0"/>
                <w:sz w:val="21"/>
                <w:szCs w:val="21"/>
                <w:highlight w:val="none"/>
                <w:lang w:val="zh-CN" w:bidi="zh-CN"/>
              </w:rPr>
              <w:t>m取样</w:t>
            </w:r>
          </w:p>
        </w:tc>
      </w:tr>
    </w:tbl>
    <w:p>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474" w:firstLineChars="200"/>
        <w:jc w:val="both"/>
        <w:textAlignment w:val="bottom"/>
        <w:rPr>
          <w:rFonts w:hint="default" w:ascii="Times New Roman" w:hAnsi="Times New Roman" w:eastAsia="宋体" w:cs="Times New Roman"/>
          <w:b w:val="0"/>
          <w:bCs/>
          <w:caps w:val="0"/>
          <w:smallCaps w:val="0"/>
          <w:color w:val="auto"/>
          <w:spacing w:val="0"/>
          <w:w w:val="99"/>
          <w:position w:val="0"/>
          <w:sz w:val="24"/>
          <w:highlight w:val="none"/>
          <w:lang w:val="en-US" w:eastAsia="zh-CN"/>
        </w:rPr>
      </w:pPr>
    </w:p>
    <w:p>
      <w:pPr>
        <w:pStyle w:val="32"/>
        <w:keepNext w:val="0"/>
        <w:keepLines w:val="0"/>
        <w:pageBreakBefore w:val="0"/>
        <w:widowControl w:val="0"/>
        <w:kinsoku/>
        <w:wordWrap/>
        <w:overflowPunct/>
        <w:topLinePunct w:val="0"/>
        <w:autoSpaceDE w:val="0"/>
        <w:autoSpaceDN w:val="0"/>
        <w:bidi w:val="0"/>
        <w:adjustRightInd w:val="0"/>
        <w:snapToGrid/>
        <w:spacing w:line="240" w:lineRule="auto"/>
        <w:jc w:val="left"/>
        <w:textAlignment w:val="bottom"/>
        <w:rPr>
          <w:rFonts w:hint="default" w:ascii="Times New Roman" w:hAnsi="Times New Roman" w:eastAsia="宋体" w:cs="Times New Roman"/>
          <w:b w:val="0"/>
          <w:bCs/>
          <w:caps w:val="0"/>
          <w:smallCaps w:val="0"/>
          <w:color w:val="auto"/>
          <w:spacing w:val="0"/>
          <w:w w:val="99"/>
          <w:position w:val="0"/>
          <w:sz w:val="24"/>
          <w:highlight w:val="none"/>
          <w:lang w:val="en-US" w:eastAsia="zh-CN"/>
        </w:rPr>
      </w:pPr>
      <w:r>
        <w:rPr>
          <w:rFonts w:hint="eastAsia" w:ascii="Times New Roman" w:hAnsi="Times New Roman" w:eastAsia="宋体" w:cs="Times New Roman"/>
          <w:color w:val="auto"/>
          <w:sz w:val="24"/>
          <w:highlight w:val="none"/>
          <w:lang w:eastAsia="zh-CN"/>
        </w:rPr>
        <w:drawing>
          <wp:anchor distT="0" distB="0" distL="114935" distR="114935" simplePos="0" relativeHeight="251678720" behindDoc="0" locked="0" layoutInCell="1" allowOverlap="1">
            <wp:simplePos x="0" y="0"/>
            <wp:positionH relativeFrom="column">
              <wp:posOffset>3536315</wp:posOffset>
            </wp:positionH>
            <wp:positionV relativeFrom="paragraph">
              <wp:posOffset>1105535</wp:posOffset>
            </wp:positionV>
            <wp:extent cx="399415" cy="76835"/>
            <wp:effectExtent l="0" t="0" r="635" b="18415"/>
            <wp:wrapNone/>
            <wp:docPr id="59" name="图片 59" descr="169224592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692245922046"/>
                    <pic:cNvPicPr>
                      <a:picLocks noChangeAspect="1"/>
                    </pic:cNvPicPr>
                  </pic:nvPicPr>
                  <pic:blipFill>
                    <a:blip r:embed="rId47"/>
                    <a:stretch>
                      <a:fillRect/>
                    </a:stretch>
                  </pic:blipFill>
                  <pic:spPr>
                    <a:xfrm>
                      <a:off x="0" y="0"/>
                      <a:ext cx="399415" cy="76835"/>
                    </a:xfrm>
                    <a:prstGeom prst="rect">
                      <a:avLst/>
                    </a:prstGeom>
                  </pic:spPr>
                </pic:pic>
              </a:graphicData>
            </a:graphic>
          </wp:anchor>
        </w:drawing>
      </w:r>
      <w:r>
        <w:rPr>
          <w:rFonts w:hint="eastAsia" w:ascii="Times New Roman" w:hAnsi="Times New Roman" w:eastAsia="宋体" w:cs="Times New Roman"/>
          <w:color w:val="auto"/>
          <w:sz w:val="24"/>
          <w:highlight w:val="none"/>
          <w:lang w:eastAsia="zh-CN"/>
        </w:rPr>
        <w:drawing>
          <wp:anchor distT="0" distB="0" distL="114935" distR="114935" simplePos="0" relativeHeight="251676672" behindDoc="0" locked="0" layoutInCell="1" allowOverlap="1">
            <wp:simplePos x="0" y="0"/>
            <wp:positionH relativeFrom="column">
              <wp:posOffset>2857500</wp:posOffset>
            </wp:positionH>
            <wp:positionV relativeFrom="paragraph">
              <wp:posOffset>2461260</wp:posOffset>
            </wp:positionV>
            <wp:extent cx="460375" cy="142240"/>
            <wp:effectExtent l="0" t="0" r="15875" b="10160"/>
            <wp:wrapNone/>
            <wp:docPr id="26" name="图片 26" descr="169224578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92245785361"/>
                    <pic:cNvPicPr>
                      <a:picLocks noChangeAspect="1"/>
                    </pic:cNvPicPr>
                  </pic:nvPicPr>
                  <pic:blipFill>
                    <a:blip r:embed="rId48"/>
                    <a:stretch>
                      <a:fillRect/>
                    </a:stretch>
                  </pic:blipFill>
                  <pic:spPr>
                    <a:xfrm>
                      <a:off x="0" y="0"/>
                      <a:ext cx="460375" cy="142240"/>
                    </a:xfrm>
                    <a:prstGeom prst="rect">
                      <a:avLst/>
                    </a:prstGeom>
                  </pic:spPr>
                </pic:pic>
              </a:graphicData>
            </a:graphic>
          </wp:anchor>
        </w:drawing>
      </w:r>
      <w:r>
        <w:rPr>
          <w:rFonts w:hint="eastAsia" w:ascii="Times New Roman" w:hAnsi="Times New Roman" w:eastAsia="宋体" w:cs="Times New Roman"/>
          <w:color w:val="auto"/>
          <w:sz w:val="24"/>
          <w:highlight w:val="none"/>
          <w:lang w:eastAsia="zh-CN"/>
        </w:rPr>
        <w:drawing>
          <wp:anchor distT="0" distB="0" distL="114935" distR="114935" simplePos="0" relativeHeight="251677696" behindDoc="0" locked="0" layoutInCell="1" allowOverlap="1">
            <wp:simplePos x="0" y="0"/>
            <wp:positionH relativeFrom="column">
              <wp:posOffset>3009900</wp:posOffset>
            </wp:positionH>
            <wp:positionV relativeFrom="paragraph">
              <wp:posOffset>62865</wp:posOffset>
            </wp:positionV>
            <wp:extent cx="453390" cy="109220"/>
            <wp:effectExtent l="0" t="0" r="3810" b="5080"/>
            <wp:wrapNone/>
            <wp:docPr id="55" name="图片 55" descr="169224578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692245785361"/>
                    <pic:cNvPicPr>
                      <a:picLocks noChangeAspect="1"/>
                    </pic:cNvPicPr>
                  </pic:nvPicPr>
                  <pic:blipFill>
                    <a:blip r:embed="rId48"/>
                    <a:stretch>
                      <a:fillRect/>
                    </a:stretch>
                  </pic:blipFill>
                  <pic:spPr>
                    <a:xfrm>
                      <a:off x="0" y="0"/>
                      <a:ext cx="453390" cy="109220"/>
                    </a:xfrm>
                    <a:prstGeom prst="rect">
                      <a:avLst/>
                    </a:prstGeom>
                  </pic:spPr>
                </pic:pic>
              </a:graphicData>
            </a:graphic>
          </wp:anchor>
        </w:drawing>
      </w:r>
      <w:r>
        <w:rPr>
          <w:rFonts w:hint="default" w:ascii="Times New Roman" w:hAnsi="Times New Roman" w:eastAsia="宋体" w:cs="Times New Roman"/>
          <w:b w:val="0"/>
          <w:bCs/>
          <w:caps w:val="0"/>
          <w:smallCaps w:val="0"/>
          <w:color w:val="auto"/>
          <w:spacing w:val="0"/>
          <w:w w:val="99"/>
          <w:position w:val="0"/>
          <w:sz w:val="24"/>
          <w:highlight w:val="none"/>
          <w:lang w:val="en-US" w:eastAsia="zh-CN"/>
        </w:rPr>
        <w:drawing>
          <wp:inline distT="0" distB="0" distL="114300" distR="114300">
            <wp:extent cx="5915025" cy="3341370"/>
            <wp:effectExtent l="0" t="0" r="9525" b="11430"/>
            <wp:docPr id="38" name="图片 8" descr="a84b80f87109e91eab1896cd4d7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descr="a84b80f87109e91eab1896cd4d76848"/>
                    <pic:cNvPicPr>
                      <a:picLocks noChangeAspect="1"/>
                    </pic:cNvPicPr>
                  </pic:nvPicPr>
                  <pic:blipFill>
                    <a:blip r:embed="rId49"/>
                    <a:stretch>
                      <a:fillRect/>
                    </a:stretch>
                  </pic:blipFill>
                  <pic:spPr>
                    <a:xfrm>
                      <a:off x="0" y="0"/>
                      <a:ext cx="5915025" cy="3341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cs="Times New Roman"/>
          <w:b w:val="0"/>
          <w:bCs w:val="0"/>
          <w:color w:val="auto"/>
          <w:sz w:val="24"/>
          <w:highlight w:val="none"/>
        </w:rPr>
      </w:pPr>
      <w:r>
        <w:rPr>
          <w:rFonts w:ascii="Times New Roman" w:hAnsi="Times New Roman" w:cs="Times New Roman"/>
          <w:b w:val="0"/>
          <w:bCs w:val="0"/>
          <w:color w:val="auto"/>
          <w:sz w:val="24"/>
          <w:highlight w:val="none"/>
        </w:rPr>
        <w:t>图</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 xml:space="preserve">1-1 </w:t>
      </w:r>
      <w:r>
        <w:rPr>
          <w:rFonts w:hint="eastAsia" w:ascii="Times New Roman" w:hAnsi="Times New Roman" w:cs="Times New Roman"/>
          <w:b w:val="0"/>
          <w:bCs w:val="0"/>
          <w:color w:val="auto"/>
          <w:sz w:val="24"/>
          <w:highlight w:val="none"/>
          <w:lang w:eastAsia="zh-CN"/>
        </w:rPr>
        <w:t>土壤</w:t>
      </w:r>
      <w:r>
        <w:rPr>
          <w:rFonts w:ascii="Times New Roman" w:hAnsi="Times New Roman" w:cs="Times New Roman"/>
          <w:b w:val="0"/>
          <w:bCs w:val="0"/>
          <w:color w:val="auto"/>
          <w:sz w:val="24"/>
          <w:highlight w:val="none"/>
        </w:rPr>
        <w:t>现状监测布点图</w:t>
      </w:r>
    </w:p>
    <w:p>
      <w:pPr>
        <w:bidi w:val="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2）监测项目</w:t>
      </w:r>
    </w:p>
    <w:p>
      <w:pPr>
        <w:bidi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w:t>
      </w:r>
      <w:r>
        <w:rPr>
          <w:rFonts w:hint="eastAsia" w:ascii="Times New Roman" w:cs="Times New Roman"/>
          <w:color w:val="auto"/>
          <w:sz w:val="24"/>
          <w:highlight w:val="none"/>
          <w:lang w:val="en-US" w:eastAsia="zh-CN"/>
        </w:rPr>
        <w:t>3</w:t>
      </w:r>
      <w:r>
        <w:rPr>
          <w:rFonts w:hint="default" w:ascii="Times New Roman" w:hAnsi="Times New Roman" w:cs="Times New Roman"/>
          <w:color w:val="auto"/>
          <w:sz w:val="24"/>
          <w:highlight w:val="none"/>
        </w:rPr>
        <w:t>#点位监测项目：pH、Cd、Hg、As、Pb、Cr</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六价）、Cu、Ni、苯、甲苯、乙苯、氯苯、苯乙烯、间二甲苯+对二甲苯、邻二甲苯、氯乙烯、1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2-二氯苯、1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4-二氯苯、四氯化碳、氯仿、氯甲烷、1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1-二氯乙烷、1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2-二氯乙烷、1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1-二氯乙烯、顺-1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2-二氯乙烯、反-1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2-二氯乙烯、二氯甲烷、1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2-二氯丙烷、1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2-四氯乙烷、1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2-四氯乙烷、四氯乙烯、1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1-三氯乙烷、1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2-三氯乙烷、三氯乙烯、1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3- 三氯丙烷、硝基苯、苯胺、2-氯酚、䓛、萘、苯并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a）蒽、苯并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b）荧蒽、苯并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k）荧蒽、苯并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芘、茚并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1，2，3-cd）芘、二苯并</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h）蒽、石油烃</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C</w:t>
      </w:r>
      <w:r>
        <w:rPr>
          <w:rFonts w:hint="default" w:ascii="Times New Roman" w:hAnsi="Times New Roman" w:cs="Times New Roman"/>
          <w:color w:val="auto"/>
          <w:sz w:val="24"/>
          <w:highlight w:val="none"/>
          <w:vertAlign w:val="subscript"/>
        </w:rPr>
        <w:t>10</w:t>
      </w:r>
      <w:r>
        <w:rPr>
          <w:rFonts w:hint="default" w:ascii="Times New Roman" w:hAnsi="Times New Roman" w:cs="Times New Roman"/>
          <w:color w:val="auto"/>
          <w:sz w:val="24"/>
          <w:highlight w:val="none"/>
        </w:rPr>
        <w:t>-C</w:t>
      </w:r>
      <w:r>
        <w:rPr>
          <w:rFonts w:hint="default" w:ascii="Times New Roman" w:hAnsi="Times New Roman" w:cs="Times New Roman"/>
          <w:color w:val="auto"/>
          <w:sz w:val="24"/>
          <w:highlight w:val="none"/>
          <w:vertAlign w:val="subscript"/>
        </w:rPr>
        <w:t>40</w:t>
      </w:r>
      <w:r>
        <w:rPr>
          <w:rFonts w:hint="default" w:ascii="Times New Roman" w:hAnsi="Times New Roman" w:cs="Times New Roman"/>
          <w:color w:val="auto"/>
          <w:sz w:val="24"/>
          <w:highlight w:val="none"/>
        </w:rPr>
        <w:t>）。共47项。</w:t>
      </w:r>
    </w:p>
    <w:p>
      <w:pPr>
        <w:bidi w:val="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3）监测时间</w:t>
      </w:r>
    </w:p>
    <w:p>
      <w:pPr>
        <w:bidi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监测时间：2021年</w:t>
      </w:r>
      <w:r>
        <w:rPr>
          <w:rFonts w:hint="eastAsia" w:cs="Times New Roman"/>
          <w:color w:val="auto"/>
          <w:sz w:val="24"/>
          <w:highlight w:val="none"/>
          <w:lang w:val="en-US" w:eastAsia="zh-CN"/>
        </w:rPr>
        <w:t>1月23日</w:t>
      </w:r>
      <w:r>
        <w:rPr>
          <w:rFonts w:hint="default" w:ascii="Times New Roman" w:hAnsi="Times New Roman" w:cs="Times New Roman"/>
          <w:color w:val="auto"/>
          <w:sz w:val="24"/>
          <w:highlight w:val="none"/>
        </w:rPr>
        <w:t>。</w:t>
      </w:r>
    </w:p>
    <w:p>
      <w:pPr>
        <w:bidi w:val="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4）监测频次</w:t>
      </w:r>
    </w:p>
    <w:p>
      <w:pPr>
        <w:bidi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采样1次，分别对各采样土壤进行监测因子全分析。</w:t>
      </w:r>
    </w:p>
    <w:p>
      <w:pPr>
        <w:bidi w:val="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5）监测结果</w:t>
      </w:r>
    </w:p>
    <w:p>
      <w:pPr>
        <w:bidi w:val="0"/>
        <w:rPr>
          <w:rFonts w:hint="default" w:ascii="Times New Roman" w:hAnsi="Times New Roman" w:eastAsia="宋体" w:cs="Times New Roman"/>
          <w:b w:val="0"/>
          <w:bCs/>
          <w:caps w:val="0"/>
          <w:smallCaps w:val="0"/>
          <w:color w:val="auto"/>
          <w:spacing w:val="0"/>
          <w:w w:val="99"/>
          <w:kern w:val="21"/>
          <w:position w:val="0"/>
          <w:highlight w:val="none"/>
          <w:lang w:bidi="zh-CN"/>
        </w:rPr>
      </w:pPr>
      <w:r>
        <w:rPr>
          <w:rFonts w:hint="default" w:ascii="Times New Roman" w:hAnsi="Times New Roman" w:cs="Times New Roman"/>
          <w:color w:val="auto"/>
          <w:sz w:val="24"/>
          <w:highlight w:val="none"/>
        </w:rPr>
        <w:t>本项目土壤检测结果见表</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w:t>
      </w:r>
    </w:p>
    <w:p>
      <w:pPr>
        <w:rPr>
          <w:rFonts w:hint="default"/>
        </w:rPr>
        <w:sectPr>
          <w:footerReference r:id="rId16"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299" w:charSpace="0"/>
        </w:sectPr>
      </w:pPr>
      <w:r>
        <w:rPr>
          <w:rFonts w:hint="default" w:ascii="Times New Roman" w:hAnsi="Times New Roman" w:eastAsia="宋体" w:cs="Times New Roman"/>
          <w:b/>
          <w:caps w:val="0"/>
          <w:smallCaps w:val="0"/>
          <w:color w:val="auto"/>
          <w:spacing w:val="0"/>
          <w:w w:val="99"/>
          <w:kern w:val="21"/>
          <w:position w:val="0"/>
          <w:highlight w:val="none"/>
          <w:lang w:bidi="zh-CN"/>
        </w:rPr>
        <w:br w:type="page"/>
      </w:r>
    </w:p>
    <w:p>
      <w:pPr>
        <w:bidi w:val="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表</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rPr>
        <w:t xml:space="preserve"> </w:t>
      </w:r>
      <w:r>
        <w:rPr>
          <w:rFonts w:hint="eastAsia" w:ascii="Times New Roman" w:hAnsi="Times New Roman" w:cs="Times New Roman"/>
          <w:color w:val="auto"/>
          <w:sz w:val="24"/>
          <w:highlight w:val="none"/>
          <w:lang w:val="en-US"/>
        </w:rPr>
        <w:t xml:space="preserve">                </w:t>
      </w:r>
      <w:r>
        <w:rPr>
          <w:rFonts w:hint="eastAsia" w:cs="Times New Roman"/>
          <w:color w:val="auto"/>
          <w:sz w:val="24"/>
          <w:highlight w:val="none"/>
          <w:lang w:val="en-US" w:eastAsia="zh-CN"/>
        </w:rPr>
        <w:t xml:space="preserve"> </w:t>
      </w:r>
      <w:r>
        <w:rPr>
          <w:rFonts w:hint="eastAsia" w:ascii="Times New Roman" w:hAnsi="Times New Roman" w:cs="Times New Roman"/>
          <w:color w:val="auto"/>
          <w:sz w:val="24"/>
          <w:highlight w:val="none"/>
          <w:lang w:val="en-US"/>
        </w:rPr>
        <w:t xml:space="preserve"> </w:t>
      </w:r>
      <w:r>
        <w:rPr>
          <w:rFonts w:hint="eastAsia" w:cs="Times New Roman"/>
          <w:color w:val="auto"/>
          <w:sz w:val="24"/>
          <w:highlight w:val="none"/>
          <w:lang w:val="en-US" w:eastAsia="zh-CN"/>
        </w:rPr>
        <w:t xml:space="preserve">  </w:t>
      </w:r>
      <w:r>
        <w:rPr>
          <w:rFonts w:hint="eastAsia" w:ascii="Times New Roman" w:hAnsi="Times New Roman" w:cs="Times New Roman"/>
          <w:color w:val="auto"/>
          <w:sz w:val="24"/>
          <w:highlight w:val="none"/>
          <w:lang w:val="en-US"/>
        </w:rPr>
        <w:t xml:space="preserve"> 土壤检测结果</w:t>
      </w:r>
      <w:r>
        <w:rPr>
          <w:rFonts w:hint="eastAsia" w:cs="Times New Roman"/>
          <w:color w:val="auto"/>
          <w:sz w:val="24"/>
          <w:highlight w:val="none"/>
          <w:lang w:val="en-US" w:eastAsia="zh-CN"/>
        </w:rPr>
        <w:t xml:space="preserve">   </w:t>
      </w:r>
      <w:r>
        <w:rPr>
          <w:rFonts w:hint="eastAsia" w:cs="Times New Roman"/>
          <w:color w:val="auto"/>
          <w:sz w:val="24"/>
          <w:highlight w:val="none"/>
          <w:lang w:val="en-US" w:eastAsia="zh-CN"/>
        </w:rPr>
        <w:t xml:space="preserve">               单位：</w:t>
      </w:r>
      <w:r>
        <w:rPr>
          <w:rFonts w:hint="default" w:ascii="Times New Roman" w:hAnsi="Times New Roman" w:eastAsia="宋体" w:cs="Times New Roman"/>
          <w:color w:val="auto"/>
          <w:spacing w:val="0"/>
          <w:w w:val="100"/>
          <w:sz w:val="21"/>
          <w:szCs w:val="21"/>
          <w:highlight w:val="none"/>
          <w:lang w:val="en-US" w:eastAsia="zh-CN"/>
        </w:rPr>
        <w:t>mg/Kg</w:t>
      </w:r>
    </w:p>
    <w:tbl>
      <w:tblPr>
        <w:tblStyle w:val="23"/>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21"/>
        <w:gridCol w:w="2116"/>
        <w:gridCol w:w="2613"/>
        <w:gridCol w:w="21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13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bookmarkStart w:id="988" w:name="_Toc17112"/>
            <w:r>
              <w:rPr>
                <w:rFonts w:hint="eastAsia" w:ascii="宋体" w:hAnsi="宋体" w:eastAsia="宋体" w:cs="宋体"/>
                <w:i w:val="0"/>
                <w:iCs w:val="0"/>
                <w:color w:val="000000"/>
                <w:kern w:val="0"/>
                <w:sz w:val="21"/>
                <w:szCs w:val="21"/>
                <w:u w:val="none"/>
                <w:lang w:val="en-US" w:eastAsia="zh-CN" w:bidi="ar"/>
              </w:rPr>
              <w:t>监测项目</w:t>
            </w:r>
          </w:p>
        </w:tc>
        <w:tc>
          <w:tcPr>
            <w:tcW w:w="369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检测结果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13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val="0"/>
              <w:autoSpaceDN w:val="0"/>
              <w:bidi w:val="0"/>
              <w:adjustRightInd/>
              <w:snapToGrid/>
              <w:spacing w:line="360" w:lineRule="exact"/>
              <w:ind w:firstLine="0" w:firstLineChars="0"/>
              <w:jc w:val="center"/>
              <w:rPr>
                <w:rFonts w:hint="eastAsia" w:ascii="宋体" w:hAnsi="宋体" w:eastAsia="宋体" w:cs="宋体"/>
                <w:i w:val="0"/>
                <w:iCs w:val="0"/>
                <w:color w:val="000000"/>
                <w:sz w:val="21"/>
                <w:szCs w:val="21"/>
                <w:u w:val="none"/>
              </w:rPr>
            </w:pP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项目厂址西北角</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生产车间旁</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项目厂址南侧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val="0"/>
              <w:autoSpaceDN w:val="0"/>
              <w:bidi w:val="0"/>
              <w:adjustRightInd/>
              <w:snapToGrid/>
              <w:spacing w:line="360" w:lineRule="exact"/>
              <w:ind w:firstLine="0" w:firstLineChars="0"/>
              <w:jc w:val="center"/>
              <w:rPr>
                <w:rFonts w:hint="eastAsia" w:ascii="宋体" w:hAnsi="宋体" w:eastAsia="宋体" w:cs="宋体"/>
                <w:i w:val="0"/>
                <w:iCs w:val="0"/>
                <w:color w:val="000000"/>
                <w:sz w:val="21"/>
                <w:szCs w:val="21"/>
                <w:u w:val="none"/>
              </w:rPr>
            </w:pP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镉</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0.11</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4.88</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3.93</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汞</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0.088</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0.113</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铅</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33.2</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六价铬</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铜</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镍</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四氯化碳</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氯仿</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氯甲烷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二氯乙烷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二氯乙烯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顺</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反</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二氯甲烷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四氯乙烷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四氯乙烷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四氯乙烯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三氯乙烷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三氯乙烷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三氯丙烷</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二氯苯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乙苯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苯乙烯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甲苯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间</w:t>
            </w:r>
            <w:r>
              <w:rPr>
                <w:rFonts w:hint="default" w:ascii="Times New Roman" w:hAnsi="Times New Roman" w:eastAsia="宋体" w:cs="Times New Roman"/>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对二甲苯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邻二甲苯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w:t>
            </w:r>
            <w:r>
              <w:rPr>
                <w:rStyle w:val="50"/>
                <w:rFonts w:eastAsia="宋体"/>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硝基苯</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苯胺</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0.37L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0.37L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0.37L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氯酚</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蒽</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芘</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[b]</w:t>
            </w:r>
            <w:r>
              <w:rPr>
                <w:rFonts w:hint="eastAsia" w:ascii="宋体" w:hAnsi="宋体" w:eastAsia="宋体" w:cs="宋体"/>
                <w:i w:val="0"/>
                <w:iCs w:val="0"/>
                <w:color w:val="000000"/>
                <w:kern w:val="0"/>
                <w:sz w:val="21"/>
                <w:szCs w:val="21"/>
                <w:u w:val="none"/>
                <w:lang w:val="en-US" w:eastAsia="zh-CN" w:bidi="ar"/>
              </w:rPr>
              <w:t>荧蒽</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[k]</w:t>
            </w:r>
            <w:r>
              <w:rPr>
                <w:rFonts w:hint="eastAsia" w:ascii="宋体" w:hAnsi="宋体" w:eastAsia="宋体" w:cs="宋体"/>
                <w:i w:val="0"/>
                <w:iCs w:val="0"/>
                <w:color w:val="000000"/>
                <w:kern w:val="0"/>
                <w:sz w:val="21"/>
                <w:szCs w:val="21"/>
                <w:u w:val="none"/>
                <w:lang w:val="en-US" w:eastAsia="zh-CN" w:bidi="ar"/>
              </w:rPr>
              <w:t>荧蒽</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䓛</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h]</w:t>
            </w:r>
            <w:r>
              <w:rPr>
                <w:rFonts w:hint="eastAsia" w:ascii="宋体" w:hAnsi="宋体" w:eastAsia="宋体" w:cs="宋体"/>
                <w:i w:val="0"/>
                <w:iCs w:val="0"/>
                <w:color w:val="000000"/>
                <w:kern w:val="0"/>
                <w:sz w:val="21"/>
                <w:szCs w:val="21"/>
                <w:u w:val="none"/>
                <w:lang w:val="en-US" w:eastAsia="zh-CN" w:bidi="ar"/>
              </w:rPr>
              <w:t>蒽</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茚苯并</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3-c</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d]</w:t>
            </w:r>
            <w:r>
              <w:rPr>
                <w:rFonts w:hint="eastAsia" w:ascii="宋体" w:hAnsi="宋体" w:eastAsia="宋体" w:cs="宋体"/>
                <w:i w:val="0"/>
                <w:iCs w:val="0"/>
                <w:color w:val="000000"/>
                <w:kern w:val="0"/>
                <w:sz w:val="21"/>
                <w:szCs w:val="21"/>
                <w:u w:val="none"/>
                <w:lang w:val="en-US" w:eastAsia="zh-CN" w:bidi="ar"/>
              </w:rPr>
              <w:t>芘</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萘</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0.09L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石油烃</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189</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169</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w:t>
            </w:r>
            <w:r>
              <w:rPr>
                <w:rFonts w:hint="eastAsia" w:ascii="宋体" w:hAnsi="宋体" w:eastAsia="宋体" w:cs="宋体"/>
                <w:i w:val="0"/>
                <w:iCs w:val="0"/>
                <w:color w:val="000000"/>
                <w:kern w:val="0"/>
                <w:sz w:val="21"/>
                <w:szCs w:val="21"/>
                <w:u w:val="none"/>
                <w:lang w:val="en-US" w:eastAsia="zh-CN" w:bidi="ar"/>
              </w:rPr>
              <w:t>（无量纲</w:t>
            </w:r>
            <w:r>
              <w:rPr>
                <w:rFonts w:hint="default" w:ascii="Times New Roman" w:hAnsi="Times New Roman" w:eastAsia="宋体" w:cs="Times New Roman"/>
                <w:i w:val="0"/>
                <w:iCs w:val="0"/>
                <w:color w:val="000000"/>
                <w:kern w:val="0"/>
                <w:sz w:val="21"/>
                <w:szCs w:val="21"/>
                <w:u w:val="none"/>
                <w:lang w:val="en-US" w:eastAsia="zh-CN" w:bidi="ar"/>
              </w:rPr>
              <w:t>)</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7.1</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全盐量</w:t>
            </w:r>
          </w:p>
        </w:tc>
        <w:tc>
          <w:tcPr>
            <w:tcW w:w="11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353</w:t>
            </w:r>
          </w:p>
        </w:tc>
        <w:tc>
          <w:tcPr>
            <w:tcW w:w="1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417</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395</w:t>
            </w:r>
          </w:p>
        </w:tc>
      </w:tr>
    </w:tbl>
    <w:p>
      <w:pPr>
        <w:ind w:left="0" w:leftChars="0" w:firstLine="0" w:firstLineChars="0"/>
        <w:rPr>
          <w:rFonts w:hint="default" w:ascii="Times New Roman" w:hAnsi="Times New Roman" w:eastAsia="宋体" w:cs="Times New Roman"/>
          <w:b/>
          <w:bCs/>
          <w:color w:val="auto"/>
          <w:szCs w:val="20"/>
          <w:highlight w:val="none"/>
          <w:lang w:val="en-US" w:eastAsia="zh-CN" w:bidi="ar-SA"/>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299" w:charSpace="0"/>
        </w:sectPr>
      </w:pPr>
    </w:p>
    <w:p>
      <w:pPr>
        <w:ind w:left="0" w:leftChars="0" w:firstLine="0" w:firstLineChars="0"/>
        <w:rPr>
          <w:rFonts w:hint="default" w:ascii="Times New Roman" w:hAnsi="Times New Roman" w:eastAsia="宋体" w:cs="Times New Roman"/>
          <w:b/>
          <w:bCs/>
          <w:color w:val="auto"/>
          <w:szCs w:val="20"/>
          <w:highlight w:val="none"/>
          <w:lang w:val="en-US" w:eastAsia="zh-CN" w:bidi="ar-SA"/>
        </w:rPr>
      </w:pPr>
      <w:r>
        <w:rPr>
          <w:rFonts w:hint="default" w:ascii="Times New Roman" w:hAnsi="Times New Roman" w:eastAsia="宋体" w:cs="Times New Roman"/>
          <w:b/>
          <w:bCs/>
          <w:color w:val="auto"/>
          <w:szCs w:val="20"/>
          <w:highlight w:val="none"/>
          <w:lang w:val="en-US" w:eastAsia="zh-CN" w:bidi="ar-SA"/>
        </w:rPr>
        <w:t>4</w:t>
      </w:r>
      <w:r>
        <w:rPr>
          <w:rFonts w:hint="eastAsia" w:ascii="Times New Roman" w:hAnsi="Times New Roman" w:eastAsia="宋体" w:cs="Times New Roman"/>
          <w:b/>
          <w:bCs/>
          <w:color w:val="auto"/>
          <w:szCs w:val="20"/>
          <w:highlight w:val="none"/>
          <w:lang w:val="en-US" w:eastAsia="zh-CN" w:bidi="ar-SA"/>
        </w:rPr>
        <w:t>.</w:t>
      </w:r>
      <w:r>
        <w:rPr>
          <w:rFonts w:hint="eastAsia" w:ascii="Times New Roman" w:hAnsi="Times New Roman" w:cs="Times New Roman"/>
          <w:b/>
          <w:bCs/>
          <w:color w:val="auto"/>
          <w:szCs w:val="20"/>
          <w:highlight w:val="none"/>
          <w:lang w:val="en-US" w:eastAsia="zh-CN" w:bidi="ar-SA"/>
        </w:rPr>
        <w:t>7</w:t>
      </w:r>
      <w:r>
        <w:rPr>
          <w:rFonts w:hint="eastAsia" w:ascii="Times New Roman" w:hAnsi="Times New Roman" w:eastAsia="宋体" w:cs="Times New Roman"/>
          <w:b/>
          <w:bCs/>
          <w:color w:val="auto"/>
          <w:szCs w:val="20"/>
          <w:highlight w:val="none"/>
          <w:lang w:val="en-US" w:eastAsia="zh-CN" w:bidi="ar-SA"/>
        </w:rPr>
        <w:t>.2</w:t>
      </w:r>
      <w:r>
        <w:rPr>
          <w:rFonts w:hint="default" w:ascii="Times New Roman" w:hAnsi="Times New Roman" w:eastAsia="宋体" w:cs="Times New Roman"/>
          <w:b/>
          <w:bCs/>
          <w:color w:val="auto"/>
          <w:szCs w:val="20"/>
          <w:highlight w:val="none"/>
          <w:lang w:val="en-US" w:eastAsia="zh-CN" w:bidi="ar-SA"/>
        </w:rPr>
        <w:t>土壤环境质量现状评价</w:t>
      </w:r>
      <w:bookmarkEnd w:id="988"/>
    </w:p>
    <w:p>
      <w:pPr>
        <w:bidi w:val="0"/>
        <w:rPr>
          <w:rFonts w:hint="default" w:eastAsia="宋体"/>
          <w:color w:val="auto"/>
          <w:sz w:val="24"/>
          <w:highlight w:val="none"/>
        </w:rPr>
      </w:pPr>
      <w:r>
        <w:rPr>
          <w:rFonts w:hint="eastAsia" w:eastAsia="宋体"/>
          <w:color w:val="auto"/>
          <w:sz w:val="24"/>
          <w:highlight w:val="none"/>
          <w:lang w:eastAsia="zh-CN"/>
        </w:rPr>
        <w:t>（</w:t>
      </w:r>
      <w:r>
        <w:rPr>
          <w:rFonts w:hint="default" w:eastAsia="宋体"/>
          <w:color w:val="auto"/>
          <w:sz w:val="24"/>
          <w:highlight w:val="none"/>
        </w:rPr>
        <w:t>1）评价方法</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eastAsia="宋体"/>
          <w:color w:val="auto"/>
          <w:sz w:val="24"/>
          <w:highlight w:val="none"/>
        </w:rPr>
      </w:pPr>
      <w:r>
        <w:rPr>
          <w:rFonts w:hint="default" w:eastAsia="宋体"/>
          <w:color w:val="auto"/>
          <w:sz w:val="24"/>
          <w:highlight w:val="none"/>
        </w:rPr>
        <w:t>利用单项污染指数法进行评价。评价公式如下：</w:t>
      </w:r>
    </w:p>
    <w:p>
      <w:pPr>
        <w:bidi w:val="0"/>
        <w:spacing w:line="240" w:lineRule="auto"/>
        <w:rPr>
          <w:rFonts w:hint="eastAsia" w:eastAsia="宋体"/>
          <w:color w:val="auto"/>
          <w:sz w:val="24"/>
          <w:highlight w:val="none"/>
          <w:lang w:eastAsia="zh-CN"/>
        </w:rPr>
      </w:pPr>
      <w:r>
        <w:rPr>
          <w:rFonts w:hint="eastAsia" w:eastAsia="宋体"/>
          <w:color w:val="auto"/>
          <w:sz w:val="24"/>
          <w:highlight w:val="none"/>
          <w:lang w:eastAsia="zh-CN"/>
        </w:rPr>
        <w:drawing>
          <wp:inline distT="0" distB="0" distL="114300" distR="114300">
            <wp:extent cx="518160" cy="396240"/>
            <wp:effectExtent l="0" t="0" r="15240" b="3175"/>
            <wp:docPr id="39" name="图片 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descr="11"/>
                    <pic:cNvPicPr>
                      <a:picLocks noChangeAspect="1"/>
                    </pic:cNvPicPr>
                  </pic:nvPicPr>
                  <pic:blipFill>
                    <a:blip r:embed="rId50"/>
                    <a:stretch>
                      <a:fillRect/>
                    </a:stretch>
                  </pic:blipFill>
                  <pic:spPr>
                    <a:xfrm>
                      <a:off x="0" y="0"/>
                      <a:ext cx="518160" cy="396240"/>
                    </a:xfrm>
                    <a:prstGeom prst="rect">
                      <a:avLst/>
                    </a:prstGeom>
                    <a:noFill/>
                    <a:ln>
                      <a:noFill/>
                    </a:ln>
                  </pic:spPr>
                </pic:pic>
              </a:graphicData>
            </a:graphic>
          </wp:inline>
        </w:drawing>
      </w:r>
    </w:p>
    <w:p>
      <w:pPr>
        <w:bidi w:val="0"/>
        <w:rPr>
          <w:rFonts w:hint="default" w:eastAsia="宋体"/>
          <w:color w:val="auto"/>
          <w:sz w:val="24"/>
          <w:highlight w:val="none"/>
        </w:rPr>
      </w:pPr>
      <w:r>
        <w:rPr>
          <w:rFonts w:hint="default" w:eastAsia="宋体"/>
          <w:color w:val="auto"/>
          <w:sz w:val="24"/>
          <w:highlight w:val="none"/>
        </w:rPr>
        <w:t>式中：P</w:t>
      </w:r>
      <w:r>
        <w:rPr>
          <w:rFonts w:hint="default" w:eastAsia="宋体"/>
          <w:color w:val="auto"/>
          <w:sz w:val="24"/>
          <w:highlight w:val="none"/>
          <w:vertAlign w:val="subscript"/>
        </w:rPr>
        <w:t>i</w:t>
      </w:r>
      <w:r>
        <w:rPr>
          <w:rFonts w:hint="default" w:eastAsia="宋体"/>
          <w:color w:val="auto"/>
          <w:sz w:val="24"/>
          <w:highlight w:val="none"/>
        </w:rPr>
        <w:t>-土壤中i种污染物污染指数；</w:t>
      </w:r>
    </w:p>
    <w:p>
      <w:pPr>
        <w:bidi w:val="0"/>
        <w:rPr>
          <w:rFonts w:hint="default" w:eastAsia="宋体"/>
          <w:color w:val="auto"/>
          <w:sz w:val="24"/>
          <w:highlight w:val="none"/>
        </w:rPr>
      </w:pPr>
      <w:r>
        <w:rPr>
          <w:rFonts w:hint="default" w:eastAsia="宋体"/>
          <w:color w:val="auto"/>
          <w:sz w:val="24"/>
          <w:highlight w:val="none"/>
        </w:rPr>
        <w:t>C</w:t>
      </w:r>
      <w:r>
        <w:rPr>
          <w:rFonts w:hint="default" w:eastAsia="宋体"/>
          <w:color w:val="auto"/>
          <w:sz w:val="24"/>
          <w:highlight w:val="none"/>
          <w:vertAlign w:val="subscript"/>
        </w:rPr>
        <w:t>i</w:t>
      </w:r>
      <w:r>
        <w:rPr>
          <w:rFonts w:hint="default" w:eastAsia="宋体"/>
          <w:color w:val="auto"/>
          <w:sz w:val="24"/>
          <w:highlight w:val="none"/>
        </w:rPr>
        <w:t>-土壤中i种污染物污染实测值</w:t>
      </w:r>
      <w:r>
        <w:rPr>
          <w:rFonts w:hint="eastAsia" w:eastAsia="宋体"/>
          <w:color w:val="auto"/>
          <w:sz w:val="24"/>
          <w:highlight w:val="none"/>
          <w:lang w:eastAsia="zh-CN"/>
        </w:rPr>
        <w:t>（</w:t>
      </w:r>
      <w:r>
        <w:rPr>
          <w:rFonts w:hint="default" w:eastAsia="宋体"/>
          <w:color w:val="auto"/>
          <w:sz w:val="24"/>
          <w:highlight w:val="none"/>
        </w:rPr>
        <w:t>mg/kg）；</w:t>
      </w:r>
    </w:p>
    <w:p>
      <w:pPr>
        <w:bidi w:val="0"/>
        <w:rPr>
          <w:rFonts w:hint="default" w:eastAsia="宋体"/>
          <w:color w:val="auto"/>
          <w:sz w:val="24"/>
          <w:highlight w:val="none"/>
        </w:rPr>
      </w:pPr>
      <w:r>
        <w:rPr>
          <w:rFonts w:hint="default" w:eastAsia="宋体"/>
          <w:color w:val="auto"/>
          <w:sz w:val="24"/>
          <w:highlight w:val="none"/>
        </w:rPr>
        <w:t>S</w:t>
      </w:r>
      <w:r>
        <w:rPr>
          <w:rFonts w:hint="default" w:eastAsia="宋体"/>
          <w:color w:val="auto"/>
          <w:sz w:val="24"/>
          <w:highlight w:val="none"/>
          <w:vertAlign w:val="subscript"/>
        </w:rPr>
        <w:t>i</w:t>
      </w:r>
      <w:r>
        <w:rPr>
          <w:rFonts w:hint="default" w:eastAsia="宋体"/>
          <w:color w:val="auto"/>
          <w:sz w:val="24"/>
          <w:highlight w:val="none"/>
        </w:rPr>
        <w:t>-土壤中i种</w:t>
      </w:r>
      <w:r>
        <w:rPr>
          <w:rFonts w:hint="eastAsia" w:eastAsia="宋体"/>
          <w:color w:val="auto"/>
          <w:sz w:val="24"/>
          <w:highlight w:val="none"/>
          <w:lang w:eastAsia="zh-CN"/>
        </w:rPr>
        <w:t>污染物</w:t>
      </w:r>
      <w:r>
        <w:rPr>
          <w:rFonts w:hint="default" w:eastAsia="宋体"/>
          <w:color w:val="auto"/>
          <w:sz w:val="24"/>
          <w:highlight w:val="none"/>
        </w:rPr>
        <w:t>评价标准</w:t>
      </w:r>
      <w:r>
        <w:rPr>
          <w:rFonts w:hint="eastAsia" w:eastAsia="宋体"/>
          <w:color w:val="auto"/>
          <w:sz w:val="24"/>
          <w:highlight w:val="none"/>
          <w:lang w:eastAsia="zh-CN"/>
        </w:rPr>
        <w:t>（</w:t>
      </w:r>
      <w:r>
        <w:rPr>
          <w:rFonts w:hint="default" w:eastAsia="宋体"/>
          <w:color w:val="auto"/>
          <w:sz w:val="24"/>
          <w:highlight w:val="none"/>
        </w:rPr>
        <w:t>mg/kg）。</w:t>
      </w:r>
    </w:p>
    <w:p>
      <w:pPr>
        <w:bidi w:val="0"/>
        <w:rPr>
          <w:rFonts w:hint="default" w:eastAsia="宋体"/>
          <w:color w:val="auto"/>
          <w:sz w:val="24"/>
          <w:highlight w:val="none"/>
        </w:rPr>
      </w:pPr>
      <w:r>
        <w:rPr>
          <w:rFonts w:hint="default" w:eastAsia="宋体"/>
          <w:color w:val="auto"/>
          <w:sz w:val="24"/>
          <w:highlight w:val="none"/>
        </w:rPr>
        <w:t>土壤环境背景值评价采用单因子污染指数法。</w:t>
      </w:r>
    </w:p>
    <w:p>
      <w:pPr>
        <w:bidi w:val="0"/>
        <w:rPr>
          <w:rFonts w:hint="default" w:eastAsia="宋体"/>
          <w:color w:val="auto"/>
          <w:sz w:val="24"/>
          <w:highlight w:val="none"/>
        </w:rPr>
      </w:pPr>
      <w:r>
        <w:rPr>
          <w:rFonts w:hint="default" w:eastAsia="宋体"/>
          <w:color w:val="auto"/>
          <w:sz w:val="24"/>
          <w:highlight w:val="none"/>
        </w:rPr>
        <w:t>单因子污染指数为土壤污染因子含量与土壤环境质量标准的比值，其表达式为：</w:t>
      </w:r>
    </w:p>
    <w:p>
      <w:pPr>
        <w:bidi w:val="0"/>
        <w:spacing w:line="240" w:lineRule="auto"/>
        <w:rPr>
          <w:rFonts w:hint="default" w:eastAsia="宋体"/>
          <w:color w:val="auto"/>
          <w:sz w:val="24"/>
          <w:highlight w:val="none"/>
        </w:rPr>
      </w:pPr>
      <w:r>
        <w:rPr>
          <w:rFonts w:hint="default" w:eastAsia="宋体"/>
          <w:color w:val="auto"/>
          <w:sz w:val="24"/>
          <w:highlight w:val="none"/>
        </w:rPr>
        <w:drawing>
          <wp:inline distT="0" distB="0" distL="114300" distR="114300">
            <wp:extent cx="518160" cy="396240"/>
            <wp:effectExtent l="0" t="0" r="15240" b="3175"/>
            <wp:docPr id="40" name="图片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11"/>
                    <pic:cNvPicPr>
                      <a:picLocks noChangeAspect="1"/>
                    </pic:cNvPicPr>
                  </pic:nvPicPr>
                  <pic:blipFill>
                    <a:blip r:embed="rId50"/>
                    <a:stretch>
                      <a:fillRect/>
                    </a:stretch>
                  </pic:blipFill>
                  <pic:spPr>
                    <a:xfrm>
                      <a:off x="0" y="0"/>
                      <a:ext cx="518160" cy="396240"/>
                    </a:xfrm>
                    <a:prstGeom prst="rect">
                      <a:avLst/>
                    </a:prstGeom>
                    <a:noFill/>
                    <a:ln>
                      <a:noFill/>
                    </a:ln>
                  </pic:spPr>
                </pic:pic>
              </a:graphicData>
            </a:graphic>
          </wp:inline>
        </w:drawing>
      </w:r>
    </w:p>
    <w:p>
      <w:pPr>
        <w:bidi w:val="0"/>
        <w:spacing w:line="240" w:lineRule="auto"/>
        <w:rPr>
          <w:rFonts w:hint="default" w:eastAsia="宋体"/>
          <w:color w:val="auto"/>
          <w:sz w:val="24"/>
          <w:highlight w:val="none"/>
        </w:rPr>
      </w:pPr>
      <w:r>
        <w:rPr>
          <w:rFonts w:hint="default" w:eastAsia="宋体"/>
          <w:color w:val="auto"/>
          <w:sz w:val="24"/>
          <w:highlight w:val="none"/>
        </w:rPr>
        <w:t>式中：P</w:t>
      </w:r>
      <w:r>
        <w:rPr>
          <w:rFonts w:hint="default" w:eastAsia="宋体"/>
          <w:color w:val="auto"/>
          <w:sz w:val="24"/>
          <w:highlight w:val="none"/>
          <w:vertAlign w:val="subscript"/>
        </w:rPr>
        <w:t>i</w:t>
      </w:r>
      <w:r>
        <w:rPr>
          <w:rFonts w:hint="default" w:eastAsia="宋体"/>
          <w:color w:val="auto"/>
          <w:sz w:val="24"/>
          <w:highlight w:val="none"/>
        </w:rPr>
        <w:t>——土壤环境污染指数；</w:t>
      </w:r>
    </w:p>
    <w:p>
      <w:pPr>
        <w:bidi w:val="0"/>
        <w:rPr>
          <w:rFonts w:hint="default" w:eastAsia="宋体"/>
          <w:color w:val="auto"/>
          <w:sz w:val="24"/>
          <w:highlight w:val="none"/>
        </w:rPr>
      </w:pPr>
      <w:r>
        <w:rPr>
          <w:rFonts w:hint="default" w:eastAsia="宋体"/>
          <w:color w:val="auto"/>
          <w:sz w:val="24"/>
          <w:highlight w:val="none"/>
        </w:rPr>
        <w:t>C</w:t>
      </w:r>
      <w:r>
        <w:rPr>
          <w:rFonts w:hint="default" w:eastAsia="宋体"/>
          <w:color w:val="auto"/>
          <w:sz w:val="24"/>
          <w:highlight w:val="none"/>
          <w:vertAlign w:val="subscript"/>
        </w:rPr>
        <w:t>i</w:t>
      </w:r>
      <w:r>
        <w:rPr>
          <w:rFonts w:hint="default" w:eastAsia="宋体"/>
          <w:color w:val="auto"/>
          <w:sz w:val="24"/>
          <w:highlight w:val="none"/>
        </w:rPr>
        <w:t>——土壤环境质量实测值，mg/kg；</w:t>
      </w:r>
    </w:p>
    <w:p>
      <w:pPr>
        <w:bidi w:val="0"/>
        <w:rPr>
          <w:rFonts w:hint="default" w:eastAsia="宋体"/>
          <w:color w:val="auto"/>
          <w:sz w:val="24"/>
          <w:highlight w:val="none"/>
        </w:rPr>
      </w:pPr>
      <w:r>
        <w:rPr>
          <w:rFonts w:hint="default" w:eastAsia="宋体"/>
          <w:color w:val="auto"/>
          <w:sz w:val="24"/>
          <w:highlight w:val="none"/>
        </w:rPr>
        <w:t>S</w:t>
      </w:r>
      <w:r>
        <w:rPr>
          <w:rFonts w:hint="default" w:eastAsia="宋体"/>
          <w:color w:val="auto"/>
          <w:sz w:val="24"/>
          <w:highlight w:val="none"/>
          <w:vertAlign w:val="subscript"/>
        </w:rPr>
        <w:t>i</w:t>
      </w:r>
      <w:r>
        <w:rPr>
          <w:rFonts w:hint="default" w:eastAsia="宋体"/>
          <w:color w:val="auto"/>
          <w:sz w:val="24"/>
          <w:highlight w:val="none"/>
        </w:rPr>
        <w:t>——土壤环境质量评价标准，mg/kg。</w:t>
      </w:r>
    </w:p>
    <w:p>
      <w:pPr>
        <w:bidi w:val="0"/>
        <w:rPr>
          <w:rFonts w:hint="default" w:ascii="Times New Roman" w:hAnsi="Times New Roman" w:eastAsia="宋体" w:cs="Times New Roman"/>
          <w:caps w:val="0"/>
          <w:smallCaps w:val="0"/>
          <w:color w:val="auto"/>
          <w:spacing w:val="0"/>
          <w:w w:val="99"/>
          <w:position w:val="0"/>
          <w:sz w:val="24"/>
          <w:highlight w:val="none"/>
        </w:rPr>
      </w:pPr>
      <w:r>
        <w:rPr>
          <w:rFonts w:hint="default" w:eastAsia="宋体"/>
          <w:color w:val="auto"/>
          <w:sz w:val="24"/>
          <w:highlight w:val="none"/>
        </w:rPr>
        <w:t>P</w:t>
      </w:r>
      <w:r>
        <w:rPr>
          <w:rFonts w:hint="default" w:eastAsia="宋体"/>
          <w:color w:val="auto"/>
          <w:sz w:val="24"/>
          <w:highlight w:val="none"/>
          <w:vertAlign w:val="subscript"/>
        </w:rPr>
        <w:t>i</w:t>
      </w:r>
      <w:r>
        <w:rPr>
          <w:rFonts w:hint="default" w:eastAsia="宋体"/>
          <w:color w:val="auto"/>
          <w:sz w:val="24"/>
          <w:highlight w:val="none"/>
        </w:rPr>
        <w:t>≤1表明污染物未超标；P</w:t>
      </w:r>
      <w:r>
        <w:rPr>
          <w:rFonts w:hint="default" w:eastAsia="宋体"/>
          <w:color w:val="auto"/>
          <w:sz w:val="24"/>
          <w:highlight w:val="none"/>
          <w:vertAlign w:val="subscript"/>
        </w:rPr>
        <w:t>i</w:t>
      </w:r>
      <w:r>
        <w:rPr>
          <w:rFonts w:hint="default" w:eastAsia="宋体"/>
          <w:color w:val="auto"/>
          <w:sz w:val="24"/>
          <w:highlight w:val="none"/>
        </w:rPr>
        <w:t>＞1表明污染物超标，且P</w:t>
      </w:r>
      <w:r>
        <w:rPr>
          <w:rFonts w:hint="default" w:eastAsia="宋体"/>
          <w:color w:val="auto"/>
          <w:sz w:val="24"/>
          <w:highlight w:val="none"/>
          <w:vertAlign w:val="subscript"/>
        </w:rPr>
        <w:t>i</w:t>
      </w:r>
      <w:r>
        <w:rPr>
          <w:rFonts w:hint="default" w:eastAsia="宋体"/>
          <w:color w:val="auto"/>
          <w:sz w:val="24"/>
          <w:highlight w:val="none"/>
        </w:rPr>
        <w:t>值越大，表明污染越严重。</w:t>
      </w:r>
    </w:p>
    <w:p>
      <w:pPr>
        <w:bidi w:val="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2）评价标准</w:t>
      </w:r>
    </w:p>
    <w:p>
      <w:pPr>
        <w:bidi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cs="Times New Roman"/>
          <w:color w:val="auto"/>
          <w:sz w:val="24"/>
          <w:highlight w:val="none"/>
          <w:lang w:val="en-US" w:eastAsia="zh-CN"/>
        </w:rPr>
        <w:t>6</w:t>
      </w:r>
      <w:r>
        <w:rPr>
          <w:rFonts w:hint="default" w:ascii="Times New Roman" w:hAnsi="Times New Roman" w:eastAsia="宋体" w:cs="Times New Roman"/>
          <w:color w:val="auto"/>
          <w:sz w:val="24"/>
          <w:highlight w:val="none"/>
        </w:rPr>
        <w:t>#监测点位土壤执行《土壤环境质量 建设用地土壤污染风险管控标准</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试行）》</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GB36600-2018）中表1建设用地土壤污染风险筛选值</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基本项目）中第二类用地筛选值标准，以及表2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其他项目）中第二类用地筛选值标准。</w:t>
      </w:r>
    </w:p>
    <w:p>
      <w:pPr>
        <w:bidi w:val="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3）评价结果</w:t>
      </w:r>
    </w:p>
    <w:p>
      <w:pPr>
        <w:bidi w:val="0"/>
        <w:rPr>
          <w:rFonts w:hint="eastAsia" w:ascii="Times New Roman" w:hAnsi="Times New Roman" w:eastAsia="宋体" w:cs="Times New Roman"/>
          <w:color w:val="auto"/>
          <w:sz w:val="24"/>
          <w:highlight w:val="none"/>
          <w:lang w:val="en-US" w:eastAsia="zh-CN"/>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299" w:charSpace="0"/>
        </w:sectPr>
      </w:pPr>
      <w:r>
        <w:rPr>
          <w:rFonts w:hint="default" w:ascii="Times New Roman" w:hAnsi="Times New Roman" w:eastAsia="宋体" w:cs="Times New Roman"/>
          <w:color w:val="auto"/>
          <w:sz w:val="24"/>
          <w:highlight w:val="none"/>
        </w:rPr>
        <w:t>建设用地土壤环境质量现状评价结果见表</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2-1</w:t>
      </w:r>
      <w:r>
        <w:rPr>
          <w:rFonts w:hint="eastAsia" w:ascii="Times New Roman" w:hAnsi="Times New Roman" w:eastAsia="宋体" w:cs="Times New Roman"/>
          <w:color w:val="auto"/>
          <w:sz w:val="24"/>
          <w:highlight w:val="none"/>
          <w:lang w:eastAsia="zh-CN"/>
        </w:rPr>
        <w:t>。</w:t>
      </w:r>
    </w:p>
    <w:p>
      <w:pPr>
        <w:bidi w:val="0"/>
        <w:rPr>
          <w:rFonts w:hint="default"/>
          <w:color w:val="auto"/>
          <w:highlight w:val="none"/>
        </w:rPr>
      </w:pPr>
      <w:r>
        <w:rPr>
          <w:rFonts w:hint="default"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4.</w:t>
      </w:r>
      <w:r>
        <w:rPr>
          <w:rFonts w:hint="eastAsia" w:cs="Times New Roman"/>
          <w:color w:val="auto"/>
          <w:sz w:val="24"/>
          <w:highlight w:val="none"/>
          <w:lang w:val="en-US" w:eastAsia="zh-CN"/>
        </w:rPr>
        <w:t>7</w:t>
      </w:r>
      <w:r>
        <w:rPr>
          <w:rFonts w:hint="eastAsia"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 xml:space="preserve">    </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建设用地土壤环境质量现状评价结果</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P</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值）</w:t>
      </w:r>
    </w:p>
    <w:tbl>
      <w:tblPr>
        <w:tblStyle w:val="23"/>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162"/>
        <w:gridCol w:w="2375"/>
        <w:gridCol w:w="2375"/>
        <w:gridCol w:w="237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1163"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监测项目</w:t>
            </w:r>
          </w:p>
        </w:tc>
        <w:tc>
          <w:tcPr>
            <w:tcW w:w="3836" w:type="pct"/>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监测结果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vMerge w:val="continue"/>
            <w:tcBorders>
              <w:tl2br w:val="nil"/>
              <w:tr2bl w:val="nil"/>
            </w:tcBorders>
            <w:shd w:val="clear" w:color="auto" w:fill="auto"/>
            <w:vAlign w:val="center"/>
          </w:tcPr>
          <w:p>
            <w:pPr>
              <w:keepNext w:val="0"/>
              <w:keepLines w:val="0"/>
              <w:pageBreakBefore w:val="0"/>
              <w:kinsoku/>
              <w:wordWrap/>
              <w:overflowPunct/>
              <w:topLinePunct w:val="0"/>
              <w:autoSpaceDE w:val="0"/>
              <w:autoSpaceDN w:val="0"/>
              <w:bidi w:val="0"/>
              <w:adjustRightInd/>
              <w:snapToGrid/>
              <w:spacing w:line="360" w:lineRule="exact"/>
              <w:ind w:firstLine="0" w:firstLineChars="0"/>
              <w:jc w:val="center"/>
              <w:rPr>
                <w:rFonts w:hint="eastAsia" w:ascii="宋体" w:hAnsi="宋体" w:eastAsia="宋体" w:cs="宋体"/>
                <w:i w:val="0"/>
                <w:iCs w:val="0"/>
                <w:color w:val="000000"/>
                <w:sz w:val="21"/>
                <w:szCs w:val="21"/>
                <w:u w:val="none"/>
              </w:rPr>
            </w:pP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项目厂址西北角</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生产车间旁</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项目厂址南侧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vMerge w:val="continue"/>
            <w:tcBorders>
              <w:tl2br w:val="nil"/>
              <w:tr2bl w:val="nil"/>
            </w:tcBorders>
            <w:shd w:val="clear" w:color="auto" w:fill="auto"/>
            <w:vAlign w:val="center"/>
          </w:tcPr>
          <w:p>
            <w:pPr>
              <w:keepNext w:val="0"/>
              <w:keepLines w:val="0"/>
              <w:pageBreakBefore w:val="0"/>
              <w:kinsoku/>
              <w:wordWrap/>
              <w:overflowPunct/>
              <w:topLinePunct w:val="0"/>
              <w:autoSpaceDE w:val="0"/>
              <w:autoSpaceDN w:val="0"/>
              <w:bidi w:val="0"/>
              <w:adjustRightInd/>
              <w:snapToGrid/>
              <w:spacing w:line="360" w:lineRule="exact"/>
              <w:ind w:firstLine="0" w:firstLineChars="0"/>
              <w:jc w:val="center"/>
              <w:rPr>
                <w:rFonts w:hint="eastAsia" w:ascii="宋体" w:hAnsi="宋体" w:eastAsia="宋体" w:cs="宋体"/>
                <w:i w:val="0"/>
                <w:iCs w:val="0"/>
                <w:color w:val="000000"/>
                <w:sz w:val="21"/>
                <w:szCs w:val="21"/>
                <w:u w:val="none"/>
              </w:rPr>
            </w:pP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占地范围内</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占地范围内</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占地范围内</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vMerge w:val="continue"/>
            <w:tcBorders>
              <w:tl2br w:val="nil"/>
              <w:tr2bl w:val="nil"/>
            </w:tcBorders>
            <w:shd w:val="clear" w:color="auto" w:fill="auto"/>
            <w:vAlign w:val="center"/>
          </w:tcPr>
          <w:p>
            <w:pPr>
              <w:keepNext w:val="0"/>
              <w:keepLines w:val="0"/>
              <w:pageBreakBefore w:val="0"/>
              <w:kinsoku/>
              <w:wordWrap/>
              <w:overflowPunct/>
              <w:topLinePunct w:val="0"/>
              <w:autoSpaceDE w:val="0"/>
              <w:autoSpaceDN w:val="0"/>
              <w:bidi w:val="0"/>
              <w:adjustRightInd/>
              <w:snapToGrid/>
              <w:spacing w:line="360" w:lineRule="exact"/>
              <w:ind w:firstLine="0" w:firstLineChars="0"/>
              <w:jc w:val="center"/>
              <w:rPr>
                <w:rFonts w:hint="eastAsia" w:ascii="宋体" w:hAnsi="宋体" w:eastAsia="宋体" w:cs="宋体"/>
                <w:i w:val="0"/>
                <w:iCs w:val="0"/>
                <w:color w:val="000000"/>
                <w:sz w:val="21"/>
                <w:szCs w:val="21"/>
                <w:u w:val="none"/>
              </w:rPr>
            </w:pP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0~0.5m</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0~0.5m</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0~0.5m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镉（</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0.081</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0.066</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汞（</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铅（</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0.046</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0.042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六价铬（</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铜（</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镍（</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0.029</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0.039</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四氯化碳（</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氯仿（</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氯甲烷（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二氯乙烷（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二氯乙烯（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顺</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反</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二氯甲烷（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四氯乙烷（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四氯乙烷（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四氯乙烯（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三氯乙烷（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三氯乙烷（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三氯乙烯（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三氯丙烷（</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氯苯（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二氯苯（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4-</w:t>
            </w:r>
            <w:r>
              <w:rPr>
                <w:rFonts w:hint="eastAsia" w:ascii="宋体" w:hAnsi="宋体" w:eastAsia="宋体" w:cs="宋体"/>
                <w:i w:val="0"/>
                <w:iCs w:val="0"/>
                <w:color w:val="000000"/>
                <w:kern w:val="0"/>
                <w:sz w:val="21"/>
                <w:szCs w:val="21"/>
                <w:u w:val="none"/>
                <w:lang w:val="en-US" w:eastAsia="zh-CN" w:bidi="ar"/>
              </w:rPr>
              <w:t>二氯苯（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乙苯（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苯乙烯（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甲苯（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间</w:t>
            </w:r>
            <w:r>
              <w:rPr>
                <w:rFonts w:hint="default" w:ascii="Times New Roman" w:hAnsi="Times New Roman" w:eastAsia="宋体" w:cs="Times New Roman"/>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对二甲苯（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邻二甲苯（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硝基苯（</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苯胺（</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氯酚（</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蒽（</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芘（</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[b]</w:t>
            </w:r>
            <w:r>
              <w:rPr>
                <w:rFonts w:hint="eastAsia" w:ascii="宋体" w:hAnsi="宋体" w:eastAsia="宋体" w:cs="宋体"/>
                <w:i w:val="0"/>
                <w:iCs w:val="0"/>
                <w:color w:val="000000"/>
                <w:kern w:val="0"/>
                <w:sz w:val="21"/>
                <w:szCs w:val="21"/>
                <w:u w:val="none"/>
                <w:lang w:val="en-US" w:eastAsia="zh-CN" w:bidi="ar"/>
              </w:rPr>
              <w:t>荧蒽（</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苯并</w:t>
            </w:r>
            <w:r>
              <w:rPr>
                <w:rFonts w:hint="default" w:ascii="Times New Roman" w:hAnsi="Times New Roman" w:eastAsia="宋体" w:cs="Times New Roman"/>
                <w:i w:val="0"/>
                <w:iCs w:val="0"/>
                <w:color w:val="000000"/>
                <w:kern w:val="0"/>
                <w:sz w:val="21"/>
                <w:szCs w:val="21"/>
                <w:u w:val="none"/>
                <w:lang w:val="en-US" w:eastAsia="zh-CN" w:bidi="ar"/>
              </w:rPr>
              <w:t>[k]</w:t>
            </w:r>
            <w:r>
              <w:rPr>
                <w:rFonts w:hint="eastAsia" w:ascii="宋体" w:hAnsi="宋体" w:eastAsia="宋体" w:cs="宋体"/>
                <w:i w:val="0"/>
                <w:iCs w:val="0"/>
                <w:color w:val="000000"/>
                <w:kern w:val="0"/>
                <w:sz w:val="21"/>
                <w:szCs w:val="21"/>
                <w:u w:val="none"/>
                <w:lang w:val="en-US" w:eastAsia="zh-CN" w:bidi="ar"/>
              </w:rPr>
              <w:t>荧蒽（</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䓛（</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二苯并</w:t>
            </w: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h]</w:t>
            </w:r>
            <w:r>
              <w:rPr>
                <w:rFonts w:hint="eastAsia" w:ascii="宋体" w:hAnsi="宋体" w:eastAsia="宋体" w:cs="宋体"/>
                <w:i w:val="0"/>
                <w:iCs w:val="0"/>
                <w:color w:val="000000"/>
                <w:kern w:val="0"/>
                <w:sz w:val="21"/>
                <w:szCs w:val="21"/>
                <w:u w:val="none"/>
                <w:lang w:val="en-US" w:eastAsia="zh-CN" w:bidi="ar"/>
              </w:rPr>
              <w:t>蒽（</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茚苯并</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3-c</w:t>
            </w:r>
            <w:r>
              <w:rPr>
                <w:rFonts w:hint="eastAsia" w:ascii="宋体" w:hAnsi="宋体" w:eastAsia="宋体" w:cs="宋体"/>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d]</w:t>
            </w:r>
            <w:r>
              <w:rPr>
                <w:rFonts w:hint="eastAsia" w:ascii="宋体" w:hAnsi="宋体" w:eastAsia="宋体" w:cs="宋体"/>
                <w:i w:val="0"/>
                <w:iCs w:val="0"/>
                <w:color w:val="000000"/>
                <w:kern w:val="0"/>
                <w:sz w:val="21"/>
                <w:szCs w:val="21"/>
                <w:u w:val="none"/>
                <w:lang w:val="en-US" w:eastAsia="zh-CN" w:bidi="ar"/>
              </w:rPr>
              <w:t>芘（</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萘（</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石油烃（</w:t>
            </w:r>
            <w:r>
              <w:rPr>
                <w:rFonts w:hint="default" w:ascii="Times New Roman" w:hAnsi="Times New Roman" w:eastAsia="宋体" w:cs="Times New Roman"/>
                <w:i w:val="0"/>
                <w:iCs w:val="0"/>
                <w:color w:val="000000"/>
                <w:kern w:val="0"/>
                <w:sz w:val="21"/>
                <w:szCs w:val="21"/>
                <w:u w:val="none"/>
                <w:lang w:val="en-US" w:eastAsia="zh-CN" w:bidi="ar"/>
              </w:rPr>
              <w:t>mg/Kg</w:t>
            </w:r>
            <w:r>
              <w:rPr>
                <w:rFonts w:hint="eastAsia" w:ascii="宋体" w:hAnsi="宋体" w:eastAsia="宋体" w:cs="宋体"/>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0.42</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0.038</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pH</w:t>
            </w:r>
            <w:r>
              <w:rPr>
                <w:rFonts w:hint="eastAsia" w:ascii="宋体" w:hAnsi="宋体" w:eastAsia="宋体" w:cs="宋体"/>
                <w:i w:val="0"/>
                <w:iCs w:val="0"/>
                <w:color w:val="000000"/>
                <w:kern w:val="0"/>
                <w:sz w:val="21"/>
                <w:szCs w:val="21"/>
                <w:u w:val="none"/>
                <w:lang w:val="en-US" w:eastAsia="zh-CN" w:bidi="ar"/>
              </w:rPr>
              <w:t>（无量纲）</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snapToGrid/>
              <w:spacing w:line="360" w:lineRule="exact"/>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w:t>
            </w:r>
          </w:p>
        </w:tc>
      </w:tr>
    </w:tbl>
    <w:p>
      <w:pPr>
        <w:bidi w:val="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4）评价结论</w:t>
      </w:r>
    </w:p>
    <w:p>
      <w:pPr>
        <w:bidi w:val="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从表中可以看出，评价区域内土壤环境质量较好，没有出现超标情况。本项目永久占地内土壤满足《土壤环境质量 建设用地土壤污染风险管控标准（试行）》（GB36600-2018）中表1建设用地土壤污染风险筛选值（基本项目）中第二类用地筛选值标准，以及表2（其他项目）中第二类用地筛选值标准</w:t>
      </w:r>
      <w:r>
        <w:rPr>
          <w:rFonts w:hint="eastAsia" w:cs="Times New Roman"/>
          <w:color w:val="auto"/>
          <w:sz w:val="24"/>
          <w:highlight w:val="none"/>
          <w:lang w:eastAsia="zh-CN"/>
        </w:rPr>
        <w:t>。</w:t>
      </w:r>
    </w:p>
    <w:p>
      <w:pPr>
        <w:rPr>
          <w:rFonts w:hint="default"/>
          <w:color w:val="auto"/>
          <w:highlight w:val="none"/>
          <w:lang w:val="en-US" w:eastAsia="zh-CN"/>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5"/>
        <w:bidi w:val="0"/>
        <w:rPr>
          <w:color w:val="auto"/>
          <w:highlight w:val="none"/>
        </w:rPr>
      </w:pPr>
      <w:bookmarkStart w:id="989" w:name="_Toc28821"/>
      <w:bookmarkStart w:id="990" w:name="_Toc15393"/>
      <w:bookmarkStart w:id="991" w:name="_Toc12854"/>
      <w:bookmarkStart w:id="992" w:name="_Toc10392"/>
      <w:bookmarkStart w:id="993" w:name="_Toc29079"/>
      <w:bookmarkStart w:id="994" w:name="_Toc10946"/>
      <w:bookmarkStart w:id="995" w:name="_Toc2617"/>
      <w:bookmarkStart w:id="996" w:name="_Toc30605"/>
      <w:bookmarkStart w:id="997" w:name="_Toc25538"/>
      <w:r>
        <w:rPr>
          <w:rFonts w:hint="eastAsia" w:ascii="Times New Roman" w:hAnsi="Times New Roman" w:eastAsia="宋体" w:cs="Times New Roman"/>
          <w:color w:val="auto"/>
          <w:kern w:val="44"/>
          <w:highlight w:val="none"/>
          <w:lang w:val="en-US" w:eastAsia="zh-CN" w:bidi="ar-SA"/>
        </w:rPr>
        <w:t>5环境影响预测与评价</w:t>
      </w:r>
      <w:bookmarkEnd w:id="989"/>
      <w:bookmarkEnd w:id="990"/>
      <w:bookmarkEnd w:id="991"/>
      <w:bookmarkEnd w:id="992"/>
      <w:bookmarkEnd w:id="993"/>
      <w:bookmarkEnd w:id="994"/>
      <w:bookmarkEnd w:id="995"/>
      <w:bookmarkEnd w:id="996"/>
      <w:bookmarkEnd w:id="997"/>
    </w:p>
    <w:p>
      <w:pPr>
        <w:pStyle w:val="6"/>
        <w:bidi w:val="0"/>
        <w:rPr>
          <w:color w:val="auto"/>
          <w:highlight w:val="none"/>
        </w:rPr>
      </w:pPr>
      <w:bookmarkStart w:id="998" w:name="_Toc459542314"/>
      <w:bookmarkStart w:id="999" w:name="_Toc460663973"/>
      <w:bookmarkStart w:id="1000" w:name="_Toc4516"/>
      <w:bookmarkStart w:id="1001" w:name="_Toc23876"/>
      <w:bookmarkStart w:id="1002" w:name="_Toc14709"/>
      <w:bookmarkStart w:id="1003" w:name="_Toc1918"/>
      <w:bookmarkStart w:id="1004" w:name="_Toc32128"/>
      <w:bookmarkStart w:id="1005" w:name="_Toc17559"/>
      <w:bookmarkStart w:id="1006" w:name="_Toc5477"/>
      <w:bookmarkStart w:id="1007" w:name="_Toc22153"/>
      <w:bookmarkStart w:id="1008" w:name="_Toc11437"/>
      <w:bookmarkStart w:id="1009" w:name="_Toc9161"/>
      <w:bookmarkStart w:id="1010" w:name="_Toc459542315"/>
      <w:bookmarkStart w:id="1011" w:name="_Toc460663974"/>
      <w:r>
        <w:rPr>
          <w:color w:val="auto"/>
          <w:highlight w:val="none"/>
        </w:rPr>
        <w:t>5.1施工期环境影响分析</w:t>
      </w:r>
      <w:bookmarkEnd w:id="998"/>
      <w:bookmarkEnd w:id="999"/>
      <w:bookmarkEnd w:id="1000"/>
      <w:bookmarkEnd w:id="1001"/>
      <w:bookmarkEnd w:id="1002"/>
    </w:p>
    <w:p>
      <w:pPr>
        <w:pStyle w:val="7"/>
        <w:bidi w:val="0"/>
        <w:rPr>
          <w:color w:val="auto"/>
          <w:highlight w:val="none"/>
        </w:rPr>
      </w:pPr>
      <w:bookmarkStart w:id="1012" w:name="_Toc352"/>
      <w:r>
        <w:rPr>
          <w:color w:val="auto"/>
          <w:highlight w:val="none"/>
        </w:rPr>
        <w:t>5.1.1施工对地表水环境的影响分析</w:t>
      </w:r>
      <w:bookmarkEnd w:id="1012"/>
    </w:p>
    <w:p>
      <w:pPr>
        <w:bidi w:val="0"/>
        <w:rPr>
          <w:color w:val="auto"/>
          <w:highlight w:val="none"/>
        </w:rPr>
      </w:pPr>
      <w:r>
        <w:rPr>
          <w:color w:val="auto"/>
          <w:highlight w:val="none"/>
        </w:rPr>
        <w:t>本项目</w:t>
      </w:r>
      <w:r>
        <w:rPr>
          <w:rFonts w:hint="eastAsia"/>
          <w:color w:val="auto"/>
          <w:highlight w:val="none"/>
          <w:lang w:eastAsia="zh-CN"/>
        </w:rPr>
        <w:t>利用原有厂址进行改建</w:t>
      </w:r>
      <w:r>
        <w:rPr>
          <w:color w:val="auto"/>
          <w:highlight w:val="none"/>
        </w:rPr>
        <w:t>，</w:t>
      </w:r>
      <w:r>
        <w:rPr>
          <w:rFonts w:hint="eastAsia"/>
          <w:color w:val="auto"/>
          <w:highlight w:val="none"/>
          <w:lang w:eastAsia="zh-CN"/>
        </w:rPr>
        <w:t>生活污水</w:t>
      </w:r>
      <w:r>
        <w:rPr>
          <w:rFonts w:hint="eastAsia"/>
          <w:color w:val="auto"/>
          <w:highlight w:val="none"/>
          <w:lang w:val="en-US" w:eastAsia="zh-CN"/>
        </w:rPr>
        <w:t>采用防渗旱厕回收还田</w:t>
      </w:r>
      <w:r>
        <w:rPr>
          <w:color w:val="auto"/>
          <w:highlight w:val="none"/>
        </w:rPr>
        <w:t>。</w:t>
      </w:r>
    </w:p>
    <w:p>
      <w:pPr>
        <w:bidi w:val="0"/>
        <w:rPr>
          <w:color w:val="auto"/>
          <w:highlight w:val="none"/>
        </w:rPr>
      </w:pPr>
      <w:r>
        <w:rPr>
          <w:color w:val="auto"/>
          <w:highlight w:val="none"/>
        </w:rPr>
        <w:t>当建设施工队伍进入施工现场进行砂、石子冲洗和搅拌浇注混凝土等施工作业过程中将会有施工泥浆废水产生，产生量较少，污染物主要为SS。泥浆废水经沉淀</w:t>
      </w:r>
      <w:r>
        <w:rPr>
          <w:rFonts w:hint="eastAsia"/>
          <w:color w:val="auto"/>
          <w:highlight w:val="none"/>
        </w:rPr>
        <w:t>罐</w:t>
      </w:r>
      <w:r>
        <w:rPr>
          <w:color w:val="auto"/>
          <w:highlight w:val="none"/>
        </w:rPr>
        <w:t>收集后部分回用，少量泼洒场地，经过这些措施，本工程施工期对地表水环境的影响将大大减小。</w:t>
      </w:r>
    </w:p>
    <w:p>
      <w:pPr>
        <w:bidi w:val="0"/>
        <w:rPr>
          <w:color w:val="auto"/>
          <w:highlight w:val="none"/>
        </w:rPr>
      </w:pPr>
      <w:r>
        <w:rPr>
          <w:color w:val="auto"/>
          <w:highlight w:val="none"/>
        </w:rPr>
        <w:t>由于施工是短暂的，施工完毕后影响也随之消失，因此施工期产生废水对地表水环境影响较小。</w:t>
      </w:r>
    </w:p>
    <w:p>
      <w:pPr>
        <w:pStyle w:val="7"/>
        <w:bidi w:val="0"/>
        <w:rPr>
          <w:color w:val="auto"/>
          <w:highlight w:val="none"/>
        </w:rPr>
      </w:pPr>
      <w:bookmarkStart w:id="1013" w:name="_Toc29158"/>
      <w:r>
        <w:rPr>
          <w:color w:val="auto"/>
          <w:highlight w:val="none"/>
        </w:rPr>
        <w:t>5.1.2施工期环境空气环境影响分析</w:t>
      </w:r>
      <w:bookmarkEnd w:id="1013"/>
    </w:p>
    <w:p>
      <w:pPr>
        <w:bidi w:val="0"/>
        <w:rPr>
          <w:color w:val="auto"/>
          <w:highlight w:val="none"/>
        </w:rPr>
      </w:pPr>
      <w:r>
        <w:rPr>
          <w:color w:val="auto"/>
          <w:highlight w:val="none"/>
        </w:rPr>
        <w:t>工程在建设施工过程中，各种燃油动力机械和运输车辆排放的废气，挖土、运土、填土、夯实和汽车运输过程的扬尘，都会给周围环境空气带来污染。污染大气的主要因子是扬尘污染最为严重。</w:t>
      </w:r>
    </w:p>
    <w:p>
      <w:pPr>
        <w:bidi w:val="0"/>
        <w:rPr>
          <w:color w:val="auto"/>
          <w:highlight w:val="none"/>
        </w:rPr>
      </w:pPr>
      <w:r>
        <w:rPr>
          <w:color w:val="auto"/>
          <w:highlight w:val="none"/>
        </w:rPr>
        <w:t>对整个施工期而言，施工产生的扬尘主要集中在土建施工阶段。按起尘的原因可分为风力起尘和动力起尘，其中风力起尘主要是由于露天堆放的建材</w:t>
      </w:r>
      <w:r>
        <w:rPr>
          <w:rFonts w:hint="eastAsia"/>
          <w:color w:val="auto"/>
          <w:highlight w:val="none"/>
          <w:lang w:eastAsia="zh-CN"/>
        </w:rPr>
        <w:t>（</w:t>
      </w:r>
      <w:r>
        <w:rPr>
          <w:color w:val="auto"/>
          <w:highlight w:val="none"/>
        </w:rPr>
        <w:t>如黄沙、水泥等</w:t>
      </w:r>
      <w:r>
        <w:rPr>
          <w:rFonts w:hint="eastAsia"/>
          <w:color w:val="auto"/>
          <w:highlight w:val="none"/>
          <w:lang w:eastAsia="zh-CN"/>
        </w:rPr>
        <w:t>）</w:t>
      </w:r>
      <w:r>
        <w:rPr>
          <w:color w:val="auto"/>
          <w:highlight w:val="none"/>
        </w:rPr>
        <w:t>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据了解，该项目建设过程中的运输车辆以使用10吨的卡车较多，车辆行驶产生的扬尘，在完全干燥情况下的经验计算公式为：</w:t>
      </w: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object>
          <v:shape id="_x0000_i1025" o:spt="75" type="#_x0000_t75" style="height:23.85pt;width:193.5pt;" o:ole="t" filled="f" o:preferrelative="t" stroked="f" coordsize="21600,21600">
            <v:path/>
            <v:fill on="f" focussize="0,0"/>
            <v:stroke on="f"/>
            <v:imagedata r:id="rId52" o:title=""/>
            <o:lock v:ext="edit" grouping="f" rotation="f" text="f" aspectratio="t"/>
            <w10:wrap type="none"/>
            <w10:anchorlock/>
          </v:shape>
          <o:OLEObject Type="Embed" ProgID="Equation.3" ShapeID="_x0000_i1025" DrawAspect="Content" ObjectID="_1468075725" r:id="rId51">
            <o:LockedField>false</o:LockedField>
          </o:OLEObject>
        </w:object>
      </w:r>
    </w:p>
    <w:p>
      <w:pPr>
        <w:bidi w:val="0"/>
        <w:rPr>
          <w:rFonts w:ascii="Times New Roman" w:hAnsi="Times New Roman" w:cs="Times New Roman"/>
          <w:color w:val="auto"/>
          <w:highlight w:val="none"/>
        </w:rPr>
      </w:pPr>
      <w:r>
        <w:rPr>
          <w:rFonts w:ascii="Times New Roman" w:hAnsi="Times New Roman" w:cs="Times New Roman"/>
          <w:color w:val="auto"/>
          <w:highlight w:val="none"/>
        </w:rPr>
        <w:t>式中：Q－汽车行驶的扬尘，kg/km辆；</w:t>
      </w:r>
    </w:p>
    <w:p>
      <w:pPr>
        <w:bidi w:val="0"/>
        <w:rPr>
          <w:rFonts w:ascii="Times New Roman" w:hAnsi="Times New Roman" w:cs="Times New Roman"/>
          <w:color w:val="auto"/>
          <w:highlight w:val="none"/>
        </w:rPr>
      </w:pPr>
      <w:r>
        <w:rPr>
          <w:rFonts w:ascii="Times New Roman" w:hAnsi="Times New Roman" w:cs="Times New Roman"/>
          <w:color w:val="auto"/>
          <w:highlight w:val="none"/>
        </w:rPr>
        <w:t>V－汽车速度，km/hr；</w:t>
      </w:r>
    </w:p>
    <w:p>
      <w:pPr>
        <w:bidi w:val="0"/>
        <w:rPr>
          <w:rFonts w:ascii="Times New Roman" w:hAnsi="Times New Roman" w:cs="Times New Roman"/>
          <w:color w:val="auto"/>
          <w:highlight w:val="none"/>
        </w:rPr>
      </w:pPr>
      <w:r>
        <w:rPr>
          <w:rFonts w:ascii="Times New Roman" w:hAnsi="Times New Roman" w:cs="Times New Roman"/>
          <w:color w:val="auto"/>
          <w:highlight w:val="none"/>
        </w:rPr>
        <w:t>W－汽车载重量，吨；</w:t>
      </w:r>
    </w:p>
    <w:p>
      <w:pPr>
        <w:bidi w:val="0"/>
        <w:rPr>
          <w:rFonts w:ascii="Times New Roman" w:hAnsi="Times New Roman" w:cs="Times New Roman"/>
          <w:color w:val="auto"/>
          <w:highlight w:val="none"/>
        </w:rPr>
      </w:pPr>
      <w:r>
        <w:rPr>
          <w:rFonts w:ascii="Times New Roman" w:hAnsi="Times New Roman" w:cs="Times New Roman"/>
          <w:color w:val="auto"/>
          <w:highlight w:val="none"/>
        </w:rPr>
        <w:t>P－道路表面粉尘量，kg/m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5.1.2-1</w:t>
      </w:r>
      <w:r>
        <w:rPr>
          <w:rFonts w:ascii="Times New Roman" w:hAnsi="Times New Roman" w:cs="Times New Roman"/>
          <w:color w:val="auto"/>
          <w:highlight w:val="none"/>
        </w:rPr>
        <w:t>为一辆10吨卡车，通过</w:t>
      </w:r>
    </w:p>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一段长度为1km的路面时，不同路面清洁程度，不同行驶速度情况下的扬尘量。由此可见，在同样路面清洁程度条件下，车速越快，扬尘量越大；而在同样车速情况下，路面越脏，则扬尘量越大。因此，可以通过采取限速行驶及保持路面的清洁等措施后，减小汽车扬尘对环境的影响。</w:t>
      </w:r>
    </w:p>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表</w:t>
      </w:r>
      <w:r>
        <w:rPr>
          <w:rFonts w:hint="eastAsia" w:ascii="Times New Roman" w:hAnsi="Times New Roman" w:cs="Times New Roman"/>
          <w:color w:val="auto"/>
          <w:sz w:val="24"/>
          <w:highlight w:val="none"/>
          <w:lang w:val="en-US" w:eastAsia="zh-CN"/>
        </w:rPr>
        <w:t>5.1.2-1</w:t>
      </w:r>
      <w:r>
        <w:rPr>
          <w:rFonts w:ascii="Times New Roman" w:hAnsi="Times New Roman" w:cs="Times New Roman"/>
          <w:color w:val="auto"/>
          <w:sz w:val="24"/>
          <w:highlight w:val="none"/>
        </w:rPr>
        <w:t xml:space="preserve">  </w:t>
      </w:r>
      <w:r>
        <w:rPr>
          <w:rFonts w:hint="eastAsia" w:ascii="Times New Roman" w:hAnsi="Times New Roman" w:cs="Times New Roman"/>
          <w:color w:val="auto"/>
          <w:sz w:val="24"/>
          <w:highlight w:val="none"/>
          <w:lang w:val="en-US" w:eastAsia="zh-CN"/>
        </w:rPr>
        <w:t xml:space="preserve">  </w:t>
      </w:r>
      <w:r>
        <w:rPr>
          <w:rFonts w:ascii="Times New Roman" w:hAnsi="Times New Roman" w:cs="Times New Roman"/>
          <w:color w:val="auto"/>
          <w:sz w:val="24"/>
          <w:highlight w:val="none"/>
        </w:rPr>
        <w:t>不同车速和地面清洁程度的汽车扬尘统计表     单位：kg/辆km</w:t>
      </w:r>
    </w:p>
    <w:tbl>
      <w:tblPr>
        <w:tblStyle w:val="23"/>
        <w:tblW w:w="8982" w:type="dxa"/>
        <w:jc w:val="center"/>
        <w:tblLayout w:type="fixed"/>
        <w:tblCellMar>
          <w:top w:w="0" w:type="dxa"/>
          <w:left w:w="108" w:type="dxa"/>
          <w:bottom w:w="0" w:type="dxa"/>
          <w:right w:w="108" w:type="dxa"/>
        </w:tblCellMar>
      </w:tblPr>
      <w:tblGrid>
        <w:gridCol w:w="1318"/>
        <w:gridCol w:w="1278"/>
        <w:gridCol w:w="1278"/>
        <w:gridCol w:w="1277"/>
        <w:gridCol w:w="1277"/>
        <w:gridCol w:w="1277"/>
        <w:gridCol w:w="1277"/>
      </w:tblGrid>
      <w:tr>
        <w:tblPrEx>
          <w:tblCellMar>
            <w:top w:w="0" w:type="dxa"/>
            <w:left w:w="108" w:type="dxa"/>
            <w:bottom w:w="0" w:type="dxa"/>
            <w:right w:w="108" w:type="dxa"/>
          </w:tblCellMar>
        </w:tblPrEx>
        <w:trPr>
          <w:trHeight w:val="397" w:hRule="atLeast"/>
          <w:jc w:val="center"/>
        </w:trPr>
        <w:tc>
          <w:tcPr>
            <w:tcW w:w="1318" w:type="dxa"/>
            <w:tcBorders>
              <w:top w:val="single" w:color="auto" w:sz="12" w:space="0"/>
              <w:left w:val="nil"/>
              <w:bottom w:val="single" w:color="auto" w:sz="4" w:space="0"/>
              <w:right w:val="single" w:color="auto" w:sz="4" w:space="0"/>
              <w:tl2br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 xml:space="preserve">       P</w:t>
            </w:r>
          </w:p>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车速</w:t>
            </w:r>
          </w:p>
        </w:tc>
        <w:tc>
          <w:tcPr>
            <w:tcW w:w="1278" w:type="dxa"/>
            <w:tcBorders>
              <w:top w:val="single" w:color="auto" w:sz="12"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c>
          <w:tcPr>
            <w:tcW w:w="1278" w:type="dxa"/>
            <w:tcBorders>
              <w:top w:val="single" w:color="auto" w:sz="12"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c>
          <w:tcPr>
            <w:tcW w:w="1277" w:type="dxa"/>
            <w:tcBorders>
              <w:top w:val="single" w:color="auto" w:sz="12"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0.3</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c>
          <w:tcPr>
            <w:tcW w:w="1277" w:type="dxa"/>
            <w:tcBorders>
              <w:top w:val="single" w:color="auto" w:sz="12"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0.4</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c>
          <w:tcPr>
            <w:tcW w:w="1277" w:type="dxa"/>
            <w:tcBorders>
              <w:top w:val="single" w:color="auto" w:sz="12"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0.5</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c>
          <w:tcPr>
            <w:tcW w:w="1277" w:type="dxa"/>
            <w:tcBorders>
              <w:top w:val="single" w:color="auto" w:sz="12" w:space="0"/>
              <w:left w:val="single" w:color="auto" w:sz="4" w:space="0"/>
              <w:bottom w:val="single" w:color="auto" w:sz="4" w:space="0"/>
              <w:right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kg/m</w:t>
            </w:r>
            <w:r>
              <w:rPr>
                <w:rFonts w:ascii="Times New Roman" w:hAnsi="Times New Roman" w:eastAsia="宋体" w:cs="Times New Roman"/>
                <w:color w:val="auto"/>
                <w:w w:val="100"/>
                <w:sz w:val="21"/>
                <w:highlight w:val="none"/>
                <w:vertAlign w:val="superscript"/>
              </w:rPr>
              <w:t>2</w:t>
            </w:r>
            <w:r>
              <w:rPr>
                <w:rFonts w:hint="eastAsia" w:ascii="Times New Roman" w:hAnsi="Times New Roman" w:eastAsia="宋体" w:cs="Times New Roman"/>
                <w:color w:val="auto"/>
                <w:w w:val="100"/>
                <w:sz w:val="21"/>
                <w:highlight w:val="none"/>
                <w:lang w:eastAsia="zh-CN"/>
              </w:rPr>
              <w:t>）</w:t>
            </w:r>
          </w:p>
        </w:tc>
      </w:tr>
      <w:tr>
        <w:tblPrEx>
          <w:tblCellMar>
            <w:top w:w="0" w:type="dxa"/>
            <w:left w:w="108" w:type="dxa"/>
            <w:bottom w:w="0" w:type="dxa"/>
            <w:right w:w="108" w:type="dxa"/>
          </w:tblCellMar>
        </w:tblPrEx>
        <w:trPr>
          <w:trHeight w:val="397" w:hRule="atLeast"/>
          <w:jc w:val="center"/>
        </w:trPr>
        <w:tc>
          <w:tcPr>
            <w:tcW w:w="1318" w:type="dxa"/>
            <w:tcBorders>
              <w:top w:val="single" w:color="auto" w:sz="4" w:space="0"/>
              <w:left w:val="nil"/>
              <w:bottom w:val="single" w:color="auto" w:sz="4" w:space="0"/>
              <w:right w:val="single" w:color="auto" w:sz="4" w:space="0"/>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5</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km/hr</w:t>
            </w:r>
            <w:r>
              <w:rPr>
                <w:rFonts w:hint="eastAsia" w:ascii="Times New Roman" w:hAnsi="Times New Roman" w:eastAsia="宋体" w:cs="Times New Roman"/>
                <w:color w:val="auto"/>
                <w:w w:val="100"/>
                <w:sz w:val="21"/>
                <w:highlight w:val="none"/>
                <w:lang w:eastAsia="zh-CN"/>
              </w:rPr>
              <w:t>）</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0.051056</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0.085865</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0.116382</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0.144408</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0.170715</w:t>
            </w:r>
          </w:p>
        </w:tc>
        <w:tc>
          <w:tcPr>
            <w:tcW w:w="1277" w:type="dxa"/>
            <w:tcBorders>
              <w:top w:val="single" w:color="auto" w:sz="4" w:space="0"/>
              <w:left w:val="single" w:color="auto" w:sz="4" w:space="0"/>
              <w:bottom w:val="single" w:color="auto" w:sz="4" w:space="0"/>
              <w:right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0.287108</w:t>
            </w:r>
          </w:p>
        </w:tc>
      </w:tr>
      <w:tr>
        <w:tblPrEx>
          <w:tblCellMar>
            <w:top w:w="0" w:type="dxa"/>
            <w:left w:w="108" w:type="dxa"/>
            <w:bottom w:w="0" w:type="dxa"/>
            <w:right w:w="108" w:type="dxa"/>
          </w:tblCellMar>
        </w:tblPrEx>
        <w:trPr>
          <w:trHeight w:val="397" w:hRule="atLeast"/>
          <w:jc w:val="center"/>
        </w:trPr>
        <w:tc>
          <w:tcPr>
            <w:tcW w:w="1318" w:type="dxa"/>
            <w:tcBorders>
              <w:top w:val="single" w:color="auto" w:sz="4" w:space="0"/>
              <w:left w:val="nil"/>
              <w:bottom w:val="single" w:color="auto" w:sz="4" w:space="0"/>
              <w:right w:val="single" w:color="auto" w:sz="4" w:space="0"/>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10</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km/hr</w:t>
            </w:r>
            <w:r>
              <w:rPr>
                <w:rFonts w:hint="eastAsia" w:ascii="Times New Roman" w:hAnsi="Times New Roman" w:eastAsia="宋体" w:cs="Times New Roman"/>
                <w:color w:val="auto"/>
                <w:w w:val="100"/>
                <w:sz w:val="21"/>
                <w:highlight w:val="none"/>
                <w:lang w:eastAsia="zh-CN"/>
              </w:rPr>
              <w:t>）</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0.102112</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0.171731</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0.232764</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0.288815</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0.341431</w:t>
            </w:r>
          </w:p>
        </w:tc>
        <w:tc>
          <w:tcPr>
            <w:tcW w:w="1277" w:type="dxa"/>
            <w:tcBorders>
              <w:top w:val="single" w:color="auto" w:sz="4" w:space="0"/>
              <w:left w:val="single" w:color="auto" w:sz="4" w:space="0"/>
              <w:bottom w:val="single" w:color="auto" w:sz="4" w:space="0"/>
              <w:right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0.574216</w:t>
            </w:r>
          </w:p>
        </w:tc>
      </w:tr>
      <w:tr>
        <w:tblPrEx>
          <w:tblCellMar>
            <w:top w:w="0" w:type="dxa"/>
            <w:left w:w="108" w:type="dxa"/>
            <w:bottom w:w="0" w:type="dxa"/>
            <w:right w:w="108" w:type="dxa"/>
          </w:tblCellMar>
        </w:tblPrEx>
        <w:trPr>
          <w:trHeight w:val="397" w:hRule="atLeast"/>
          <w:jc w:val="center"/>
        </w:trPr>
        <w:tc>
          <w:tcPr>
            <w:tcW w:w="1318" w:type="dxa"/>
            <w:tcBorders>
              <w:top w:val="single" w:color="auto" w:sz="4" w:space="0"/>
              <w:left w:val="nil"/>
              <w:bottom w:val="single" w:color="auto" w:sz="4" w:space="0"/>
              <w:right w:val="single" w:color="auto" w:sz="4" w:space="0"/>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15</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km/hr</w:t>
            </w:r>
            <w:r>
              <w:rPr>
                <w:rFonts w:hint="eastAsia" w:ascii="Times New Roman" w:hAnsi="Times New Roman" w:eastAsia="宋体" w:cs="Times New Roman"/>
                <w:color w:val="auto"/>
                <w:w w:val="100"/>
                <w:sz w:val="21"/>
                <w:highlight w:val="none"/>
                <w:lang w:eastAsia="zh-CN"/>
              </w:rPr>
              <w:t>）</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0.153167</w:t>
            </w:r>
          </w:p>
        </w:tc>
        <w:tc>
          <w:tcPr>
            <w:tcW w:w="1278"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0.257596</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0.349146</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0.433223</w:t>
            </w:r>
          </w:p>
        </w:tc>
        <w:tc>
          <w:tcPr>
            <w:tcW w:w="1277" w:type="dxa"/>
            <w:tcBorders>
              <w:top w:val="single" w:color="auto" w:sz="4" w:space="0"/>
              <w:left w:val="single" w:color="auto" w:sz="4" w:space="0"/>
              <w:bottom w:val="single" w:color="auto" w:sz="4"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0.512146</w:t>
            </w:r>
          </w:p>
        </w:tc>
        <w:tc>
          <w:tcPr>
            <w:tcW w:w="1277" w:type="dxa"/>
            <w:tcBorders>
              <w:top w:val="single" w:color="auto" w:sz="4" w:space="0"/>
              <w:left w:val="single" w:color="auto" w:sz="4" w:space="0"/>
              <w:bottom w:val="single" w:color="auto" w:sz="4" w:space="0"/>
              <w:right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0.861323</w:t>
            </w:r>
          </w:p>
        </w:tc>
      </w:tr>
      <w:tr>
        <w:tblPrEx>
          <w:tblCellMar>
            <w:top w:w="0" w:type="dxa"/>
            <w:left w:w="108" w:type="dxa"/>
            <w:bottom w:w="0" w:type="dxa"/>
            <w:right w:w="108" w:type="dxa"/>
          </w:tblCellMar>
        </w:tblPrEx>
        <w:trPr>
          <w:trHeight w:val="397" w:hRule="atLeast"/>
          <w:jc w:val="center"/>
        </w:trPr>
        <w:tc>
          <w:tcPr>
            <w:tcW w:w="1318" w:type="dxa"/>
            <w:tcBorders>
              <w:top w:val="single" w:color="auto" w:sz="4" w:space="0"/>
              <w:left w:val="nil"/>
              <w:bottom w:val="single" w:color="auto" w:sz="12" w:space="0"/>
              <w:right w:val="single" w:color="auto" w:sz="4" w:space="0"/>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25</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km/hr</w:t>
            </w:r>
            <w:r>
              <w:rPr>
                <w:rFonts w:hint="eastAsia" w:ascii="Times New Roman" w:hAnsi="Times New Roman" w:eastAsia="宋体" w:cs="Times New Roman"/>
                <w:color w:val="auto"/>
                <w:w w:val="100"/>
                <w:sz w:val="21"/>
                <w:highlight w:val="none"/>
                <w:lang w:eastAsia="zh-CN"/>
              </w:rPr>
              <w:t>）</w:t>
            </w:r>
          </w:p>
        </w:tc>
        <w:tc>
          <w:tcPr>
            <w:tcW w:w="1278" w:type="dxa"/>
            <w:tcBorders>
              <w:top w:val="single" w:color="auto" w:sz="4" w:space="0"/>
              <w:left w:val="single" w:color="auto" w:sz="4" w:space="0"/>
              <w:bottom w:val="single" w:color="auto" w:sz="12"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0.255279</w:t>
            </w:r>
          </w:p>
        </w:tc>
        <w:tc>
          <w:tcPr>
            <w:tcW w:w="1278" w:type="dxa"/>
            <w:tcBorders>
              <w:top w:val="single" w:color="auto" w:sz="4" w:space="0"/>
              <w:left w:val="single" w:color="auto" w:sz="4" w:space="0"/>
              <w:bottom w:val="single" w:color="auto" w:sz="12"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0.429326</w:t>
            </w:r>
          </w:p>
        </w:tc>
        <w:tc>
          <w:tcPr>
            <w:tcW w:w="1277" w:type="dxa"/>
            <w:tcBorders>
              <w:top w:val="single" w:color="auto" w:sz="4" w:space="0"/>
              <w:left w:val="single" w:color="auto" w:sz="4" w:space="0"/>
              <w:bottom w:val="single" w:color="auto" w:sz="12"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0.58191</w:t>
            </w:r>
          </w:p>
        </w:tc>
        <w:tc>
          <w:tcPr>
            <w:tcW w:w="1277" w:type="dxa"/>
            <w:tcBorders>
              <w:top w:val="single" w:color="auto" w:sz="4" w:space="0"/>
              <w:left w:val="single" w:color="auto" w:sz="4" w:space="0"/>
              <w:bottom w:val="single" w:color="auto" w:sz="12"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0.722038</w:t>
            </w:r>
          </w:p>
        </w:tc>
        <w:tc>
          <w:tcPr>
            <w:tcW w:w="1277" w:type="dxa"/>
            <w:tcBorders>
              <w:top w:val="single" w:color="auto" w:sz="4" w:space="0"/>
              <w:left w:val="single" w:color="auto" w:sz="4" w:space="0"/>
              <w:bottom w:val="single" w:color="auto" w:sz="12" w:space="0"/>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0.853577</w:t>
            </w:r>
          </w:p>
        </w:tc>
        <w:tc>
          <w:tcPr>
            <w:tcW w:w="1277" w:type="dxa"/>
            <w:tcBorders>
              <w:top w:val="single" w:color="auto" w:sz="4" w:space="0"/>
              <w:left w:val="single" w:color="auto" w:sz="4" w:space="0"/>
              <w:bottom w:val="single" w:color="auto" w:sz="12" w:space="0"/>
              <w:right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1.435539</w:t>
            </w:r>
          </w:p>
        </w:tc>
      </w:tr>
    </w:tbl>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施工期扬尘的另一个主要原因是露天堆场和裸露场地的风力扬尘。由于施工的需要，一些建材需露天堆放；一些施工点表层土壤需人工开挖、堆放，在气候干燥又有风的情况下，会产生扬尘，堆场起尘的经验计算公式为：</w:t>
      </w:r>
    </w:p>
    <w:p>
      <w:pPr>
        <w:spacing w:before="120" w:beforeLines="50" w:after="120" w:afterLines="50" w:line="360" w:lineRule="auto"/>
        <w:ind w:firstLine="1066" w:firstLineChars="450"/>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drawing>
          <wp:inline distT="0" distB="0" distL="114300" distR="114300">
            <wp:extent cx="2118360" cy="388620"/>
            <wp:effectExtent l="0" t="0" r="0" b="12700"/>
            <wp:docPr id="41" name="图片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11"/>
                    <pic:cNvPicPr>
                      <a:picLocks noChangeAspect="1"/>
                    </pic:cNvPicPr>
                  </pic:nvPicPr>
                  <pic:blipFill>
                    <a:blip r:embed="rId53"/>
                    <a:stretch>
                      <a:fillRect/>
                    </a:stretch>
                  </pic:blipFill>
                  <pic:spPr>
                    <a:xfrm>
                      <a:off x="0" y="0"/>
                      <a:ext cx="2118360" cy="388620"/>
                    </a:xfrm>
                    <a:prstGeom prst="rect">
                      <a:avLst/>
                    </a:prstGeom>
                    <a:noFill/>
                    <a:ln>
                      <a:noFill/>
                    </a:ln>
                  </pic:spPr>
                </pic:pic>
              </a:graphicData>
            </a:graphic>
          </wp:inline>
        </w:drawing>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其中：Q－起尘量，kg/吨年；V50－距地面50m处风速，m/s；</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V</w:t>
      </w:r>
      <w:r>
        <w:rPr>
          <w:rFonts w:ascii="Times New Roman" w:hAnsi="Times New Roman" w:eastAsia="宋体" w:cs="Times New Roman"/>
          <w:color w:val="auto"/>
          <w:highlight w:val="none"/>
          <w:vertAlign w:val="subscript"/>
        </w:rPr>
        <w:t>0</w:t>
      </w:r>
      <w:r>
        <w:rPr>
          <w:rFonts w:ascii="Times New Roman" w:hAnsi="Times New Roman" w:eastAsia="宋体" w:cs="Times New Roman"/>
          <w:color w:val="auto"/>
          <w:highlight w:val="none"/>
        </w:rPr>
        <w:t>－起尘风速，m/s；W－尘粒的含水率，%。</w:t>
      </w:r>
    </w:p>
    <w:p>
      <w:pPr>
        <w:bidi w:val="0"/>
        <w:rPr>
          <w:color w:val="auto"/>
          <w:highlight w:val="none"/>
        </w:rPr>
      </w:pPr>
      <w:r>
        <w:rPr>
          <w:color w:val="auto"/>
          <w:highlight w:val="none"/>
        </w:rPr>
        <w:t>尘粒在空气中的传播扩散情况与风速等气象条件有关，也与尘粒本身的沉降速度有关。不同粒径的尘粒的沉降速度见表5.1</w:t>
      </w:r>
      <w:r>
        <w:rPr>
          <w:rFonts w:hint="eastAsia"/>
          <w:color w:val="auto"/>
          <w:highlight w:val="none"/>
          <w:lang w:val="en-US" w:eastAsia="zh-CN"/>
        </w:rPr>
        <w:t>.2</w:t>
      </w:r>
      <w:r>
        <w:rPr>
          <w:color w:val="auto"/>
          <w:highlight w:val="none"/>
        </w:rPr>
        <w:t>-2。</w:t>
      </w:r>
    </w:p>
    <w:p>
      <w:pPr>
        <w:bidi w:val="0"/>
        <w:rPr>
          <w:color w:val="auto"/>
          <w:highlight w:val="none"/>
        </w:rPr>
      </w:pPr>
      <w:r>
        <w:rPr>
          <w:color w:val="auto"/>
          <w:highlight w:val="none"/>
        </w:rPr>
        <w:t>表5.1</w:t>
      </w:r>
      <w:r>
        <w:rPr>
          <w:rFonts w:hint="eastAsia"/>
          <w:color w:val="auto"/>
          <w:highlight w:val="none"/>
          <w:lang w:val="en-US" w:eastAsia="zh-CN"/>
        </w:rPr>
        <w:t>.2</w:t>
      </w:r>
      <w:r>
        <w:rPr>
          <w:color w:val="auto"/>
          <w:highlight w:val="none"/>
        </w:rPr>
        <w:t xml:space="preserve">-2  </w:t>
      </w:r>
      <w:r>
        <w:rPr>
          <w:rFonts w:hint="eastAsia"/>
          <w:color w:val="auto"/>
          <w:highlight w:val="none"/>
          <w:lang w:val="en-US" w:eastAsia="zh-CN"/>
        </w:rPr>
        <w:t xml:space="preserve">             </w:t>
      </w:r>
      <w:r>
        <w:rPr>
          <w:color w:val="auto"/>
          <w:highlight w:val="none"/>
        </w:rPr>
        <w:t>不同粒径尘粒的沉降速度统计表</w:t>
      </w:r>
    </w:p>
    <w:tbl>
      <w:tblPr>
        <w:tblStyle w:val="23"/>
        <w:tblW w:w="89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058"/>
        <w:gridCol w:w="1060"/>
        <w:gridCol w:w="1060"/>
        <w:gridCol w:w="1058"/>
        <w:gridCol w:w="1060"/>
        <w:gridCol w:w="1060"/>
        <w:gridCol w:w="10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粒径，μm</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60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沉降速度，m/s</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0.003</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0.012</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0.027</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0.048</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0.075</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0.108</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粒径，μm</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80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90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250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沉降速度，m/s</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0.158</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0.170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0.182</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0.239</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0.804</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1.005</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粒径，μm</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650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750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850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950</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沉降速度，m/s</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2.211</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2.614</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3.016</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3.418</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3.820</w:t>
            </w:r>
          </w:p>
        </w:tc>
        <w:tc>
          <w:tcPr>
            <w:tcW w:w="106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4.222</w:t>
            </w:r>
          </w:p>
        </w:tc>
        <w:tc>
          <w:tcPr>
            <w:tcW w:w="105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4.624</w:t>
            </w: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从上表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0与粒径和含水率有关，因此，通过采取减少露天堆放和保证一定的含水率及减少裸露地面等措施后，风力起尘对环境的影响较小。</w:t>
      </w:r>
    </w:p>
    <w:p>
      <w:pPr>
        <w:bidi w:val="0"/>
        <w:rPr>
          <w:rFonts w:ascii="Times New Roman" w:hAnsi="Times New Roman" w:cs="Times New Roman"/>
          <w:color w:val="auto"/>
          <w:highlight w:val="none"/>
        </w:rPr>
      </w:pPr>
      <w:r>
        <w:rPr>
          <w:rFonts w:ascii="Times New Roman" w:hAnsi="Times New Roman" w:cs="Times New Roman"/>
          <w:color w:val="auto"/>
          <w:highlight w:val="none"/>
        </w:rPr>
        <w:t>总之，只要加强管理、切实落实好这些措施，施工场地扬尘对环境的影响将会大大降低，同时其对环境的影响也将随施工的结束而消失。</w:t>
      </w:r>
    </w:p>
    <w:p>
      <w:pPr>
        <w:pStyle w:val="7"/>
        <w:bidi w:val="0"/>
        <w:rPr>
          <w:color w:val="auto"/>
          <w:highlight w:val="none"/>
        </w:rPr>
      </w:pPr>
      <w:bookmarkStart w:id="1014" w:name="_Toc27124"/>
      <w:r>
        <w:rPr>
          <w:color w:val="auto"/>
          <w:highlight w:val="none"/>
        </w:rPr>
        <w:t>5.1.3施工噪声环境影响分析</w:t>
      </w:r>
      <w:bookmarkEnd w:id="1014"/>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5.1.3.1施工设备噪声影响分析</w:t>
      </w:r>
    </w:p>
    <w:p>
      <w:pPr>
        <w:bidi w:val="0"/>
        <w:rPr>
          <w:color w:val="auto"/>
          <w:highlight w:val="none"/>
        </w:rPr>
      </w:pPr>
      <w:r>
        <w:rPr>
          <w:rFonts w:hint="eastAsia"/>
          <w:color w:val="auto"/>
          <w:highlight w:val="none"/>
          <w:lang w:eastAsia="zh-CN"/>
        </w:rPr>
        <w:t>（</w:t>
      </w:r>
      <w:r>
        <w:rPr>
          <w:color w:val="auto"/>
          <w:highlight w:val="none"/>
        </w:rPr>
        <w:t>1）设备噪声影响值</w:t>
      </w:r>
    </w:p>
    <w:p>
      <w:pPr>
        <w:bidi w:val="0"/>
        <w:rPr>
          <w:color w:val="auto"/>
          <w:highlight w:val="none"/>
        </w:rPr>
      </w:pPr>
      <w:r>
        <w:rPr>
          <w:color w:val="auto"/>
          <w:highlight w:val="none"/>
        </w:rPr>
        <w:t>假设所有设备均为稳态连续发声状态，在不考虑任何声屏障情况下，根据点声源模式计算出单台设备随距离衰减量见表5.1</w:t>
      </w:r>
      <w:r>
        <w:rPr>
          <w:rFonts w:hint="eastAsia"/>
          <w:color w:val="auto"/>
          <w:highlight w:val="none"/>
          <w:lang w:val="en-US" w:eastAsia="zh-CN"/>
        </w:rPr>
        <w:t>.3.1</w:t>
      </w:r>
      <w:r>
        <w:rPr>
          <w:color w:val="auto"/>
          <w:highlight w:val="none"/>
        </w:rPr>
        <w:t>-</w:t>
      </w:r>
      <w:r>
        <w:rPr>
          <w:rFonts w:hint="eastAsia"/>
          <w:color w:val="auto"/>
          <w:highlight w:val="none"/>
          <w:lang w:val="en-US" w:eastAsia="zh-CN"/>
        </w:rPr>
        <w:t>1</w:t>
      </w:r>
      <w:r>
        <w:rPr>
          <w:color w:val="auto"/>
          <w:highlight w:val="none"/>
        </w:rPr>
        <w:t>。</w:t>
      </w:r>
    </w:p>
    <w:p>
      <w:pPr>
        <w:bidi w:val="0"/>
        <w:rPr>
          <w:rFonts w:hint="eastAsia"/>
          <w:color w:val="auto"/>
          <w:highlight w:val="none"/>
          <w:lang w:eastAsia="zh-CN"/>
        </w:rPr>
      </w:pPr>
      <w:r>
        <w:rPr>
          <w:color w:val="auto"/>
          <w:highlight w:val="none"/>
        </w:rPr>
        <w:t>表5.1</w:t>
      </w:r>
      <w:r>
        <w:rPr>
          <w:rFonts w:hint="eastAsia"/>
          <w:color w:val="auto"/>
          <w:highlight w:val="none"/>
          <w:lang w:val="en-US" w:eastAsia="zh-CN"/>
        </w:rPr>
        <w:t>.3.1</w:t>
      </w:r>
      <w:r>
        <w:rPr>
          <w:color w:val="auto"/>
          <w:highlight w:val="none"/>
        </w:rPr>
        <w:t>-</w:t>
      </w:r>
      <w:r>
        <w:rPr>
          <w:rFonts w:hint="eastAsia"/>
          <w:color w:val="auto"/>
          <w:highlight w:val="none"/>
          <w:lang w:val="en-US" w:eastAsia="zh-CN"/>
        </w:rPr>
        <w:t>1</w:t>
      </w:r>
      <w:r>
        <w:rPr>
          <w:color w:val="auto"/>
          <w:highlight w:val="none"/>
        </w:rPr>
        <w:t xml:space="preserve">  </w:t>
      </w:r>
      <w:r>
        <w:rPr>
          <w:rFonts w:hint="eastAsia"/>
          <w:color w:val="auto"/>
          <w:highlight w:val="none"/>
          <w:lang w:val="en-US" w:eastAsia="zh-CN"/>
        </w:rPr>
        <w:t xml:space="preserve">           </w:t>
      </w:r>
      <w:r>
        <w:rPr>
          <w:color w:val="auto"/>
          <w:highlight w:val="none"/>
        </w:rPr>
        <w:t xml:space="preserve">单台设备随距离衰减噪声值    </w:t>
      </w:r>
      <w:r>
        <w:rPr>
          <w:rFonts w:hint="eastAsia"/>
          <w:color w:val="auto"/>
          <w:highlight w:val="none"/>
          <w:lang w:val="en-US" w:eastAsia="zh-CN"/>
        </w:rPr>
        <w:t xml:space="preserve">      </w:t>
      </w:r>
      <w:r>
        <w:rPr>
          <w:color w:val="auto"/>
          <w:highlight w:val="none"/>
        </w:rPr>
        <w:t>单位：dB</w:t>
      </w:r>
      <w:r>
        <w:rPr>
          <w:rFonts w:hint="eastAsia"/>
          <w:color w:val="auto"/>
          <w:highlight w:val="none"/>
          <w:lang w:eastAsia="zh-CN"/>
        </w:rPr>
        <w:t>（</w:t>
      </w:r>
      <w:r>
        <w:rPr>
          <w:color w:val="auto"/>
          <w:highlight w:val="none"/>
        </w:rPr>
        <w:t>A</w:t>
      </w:r>
      <w:r>
        <w:rPr>
          <w:rFonts w:hint="eastAsia"/>
          <w:color w:val="auto"/>
          <w:highlight w:val="none"/>
          <w:lang w:eastAsia="zh-CN"/>
        </w:rPr>
        <w:t>）</w:t>
      </w:r>
    </w:p>
    <w:tbl>
      <w:tblPr>
        <w:tblStyle w:val="23"/>
        <w:tblW w:w="87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2"/>
        <w:gridCol w:w="842"/>
        <w:gridCol w:w="978"/>
        <w:gridCol w:w="978"/>
        <w:gridCol w:w="978"/>
        <w:gridCol w:w="895"/>
        <w:gridCol w:w="1175"/>
        <w:gridCol w:w="11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7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设备名称</w:t>
            </w:r>
          </w:p>
        </w:tc>
        <w:tc>
          <w:tcPr>
            <w:tcW w:w="8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5m</w:t>
            </w:r>
          </w:p>
        </w:tc>
        <w:tc>
          <w:tcPr>
            <w:tcW w:w="97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10m</w:t>
            </w:r>
          </w:p>
        </w:tc>
        <w:tc>
          <w:tcPr>
            <w:tcW w:w="97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20m</w:t>
            </w:r>
          </w:p>
        </w:tc>
        <w:tc>
          <w:tcPr>
            <w:tcW w:w="97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30m</w:t>
            </w:r>
          </w:p>
        </w:tc>
        <w:tc>
          <w:tcPr>
            <w:tcW w:w="89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40m</w:t>
            </w:r>
          </w:p>
        </w:tc>
        <w:tc>
          <w:tcPr>
            <w:tcW w:w="117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80m</w:t>
            </w:r>
          </w:p>
        </w:tc>
        <w:tc>
          <w:tcPr>
            <w:tcW w:w="118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推土机</w:t>
            </w:r>
          </w:p>
        </w:tc>
        <w:tc>
          <w:tcPr>
            <w:tcW w:w="84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90</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84</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78</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74.5</w:t>
            </w:r>
          </w:p>
        </w:tc>
        <w:tc>
          <w:tcPr>
            <w:tcW w:w="89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72</w:t>
            </w:r>
          </w:p>
        </w:tc>
        <w:tc>
          <w:tcPr>
            <w:tcW w:w="117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66</w:t>
            </w:r>
          </w:p>
        </w:tc>
        <w:tc>
          <w:tcPr>
            <w:tcW w:w="118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载重卡车</w:t>
            </w:r>
          </w:p>
        </w:tc>
        <w:tc>
          <w:tcPr>
            <w:tcW w:w="84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90</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84</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78</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74.5</w:t>
            </w:r>
          </w:p>
        </w:tc>
        <w:tc>
          <w:tcPr>
            <w:tcW w:w="89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72</w:t>
            </w:r>
          </w:p>
        </w:tc>
        <w:tc>
          <w:tcPr>
            <w:tcW w:w="117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66</w:t>
            </w:r>
          </w:p>
        </w:tc>
        <w:tc>
          <w:tcPr>
            <w:tcW w:w="118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搅拌机</w:t>
            </w:r>
          </w:p>
        </w:tc>
        <w:tc>
          <w:tcPr>
            <w:tcW w:w="84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74</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68</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64.5</w:t>
            </w:r>
          </w:p>
        </w:tc>
        <w:tc>
          <w:tcPr>
            <w:tcW w:w="89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62</w:t>
            </w:r>
          </w:p>
        </w:tc>
        <w:tc>
          <w:tcPr>
            <w:tcW w:w="117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56</w:t>
            </w:r>
          </w:p>
        </w:tc>
        <w:tc>
          <w:tcPr>
            <w:tcW w:w="118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7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电锯</w:t>
            </w:r>
          </w:p>
        </w:tc>
        <w:tc>
          <w:tcPr>
            <w:tcW w:w="84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100</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94</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88</w:t>
            </w:r>
          </w:p>
        </w:tc>
        <w:tc>
          <w:tcPr>
            <w:tcW w:w="97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84.5</w:t>
            </w:r>
          </w:p>
        </w:tc>
        <w:tc>
          <w:tcPr>
            <w:tcW w:w="89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82</w:t>
            </w:r>
          </w:p>
        </w:tc>
        <w:tc>
          <w:tcPr>
            <w:tcW w:w="117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76</w:t>
            </w:r>
          </w:p>
        </w:tc>
        <w:tc>
          <w:tcPr>
            <w:tcW w:w="118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60</w:t>
            </w:r>
          </w:p>
        </w:tc>
      </w:tr>
    </w:tbl>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2）采用标准</w:t>
      </w:r>
    </w:p>
    <w:p>
      <w:pPr>
        <w:bidi w:val="0"/>
        <w:rPr>
          <w:rFonts w:ascii="Times New Roman" w:hAnsi="Times New Roman" w:cs="Times New Roman"/>
          <w:color w:val="auto"/>
          <w:highlight w:val="none"/>
        </w:rPr>
      </w:pPr>
      <w:r>
        <w:rPr>
          <w:rFonts w:ascii="Times New Roman" w:hAnsi="Times New Roman" w:cs="Times New Roman"/>
          <w:color w:val="auto"/>
          <w:highlight w:val="none"/>
        </w:rPr>
        <w:t>施工场界噪声按《建筑施工场界环境噪声排放标准》</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GB12523-2011</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进行评价。标准内容见表5.1</w:t>
      </w:r>
      <w:r>
        <w:rPr>
          <w:rFonts w:hint="eastAsia" w:ascii="Times New Roman" w:hAnsi="Times New Roman" w:cs="Times New Roman"/>
          <w:color w:val="auto"/>
          <w:highlight w:val="none"/>
          <w:lang w:val="en-US" w:eastAsia="zh-CN"/>
        </w:rPr>
        <w:t>.3.1</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w:t>
      </w:r>
    </w:p>
    <w:p>
      <w:pPr>
        <w:bidi w:val="0"/>
        <w:rPr>
          <w:rFonts w:hint="eastAsia" w:ascii="Times New Roman" w:hAnsi="Times New Roman" w:cs="Times New Roman"/>
          <w:color w:val="auto"/>
          <w:highlight w:val="none"/>
          <w:lang w:eastAsia="zh-CN"/>
        </w:rPr>
      </w:pPr>
      <w:r>
        <w:rPr>
          <w:rFonts w:ascii="Times New Roman" w:hAnsi="Times New Roman" w:cs="Times New Roman"/>
          <w:color w:val="auto"/>
          <w:highlight w:val="none"/>
        </w:rPr>
        <w:t>表5.1</w:t>
      </w:r>
      <w:r>
        <w:rPr>
          <w:rFonts w:hint="eastAsia" w:ascii="Times New Roman" w:hAnsi="Times New Roman" w:cs="Times New Roman"/>
          <w:color w:val="auto"/>
          <w:highlight w:val="none"/>
          <w:lang w:val="en-US" w:eastAsia="zh-CN"/>
        </w:rPr>
        <w:t>.3.1</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 xml:space="preserve">建筑施工场界环境噪声排放标准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单位：dB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p>
    <w:tbl>
      <w:tblPr>
        <w:tblStyle w:val="23"/>
        <w:tblW w:w="93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04"/>
        <w:gridCol w:w="46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9356" w:type="dxa"/>
            <w:gridSpan w:val="2"/>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噪声限值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4704"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昼间</w:t>
            </w:r>
          </w:p>
        </w:tc>
        <w:tc>
          <w:tcPr>
            <w:tcW w:w="465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4704"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w:t>
            </w:r>
          </w:p>
        </w:tc>
        <w:tc>
          <w:tcPr>
            <w:tcW w:w="465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55</w:t>
            </w:r>
          </w:p>
        </w:tc>
      </w:tr>
    </w:tbl>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3）影响分析</w:t>
      </w:r>
    </w:p>
    <w:p>
      <w:pPr>
        <w:bidi w:val="0"/>
        <w:rPr>
          <w:rFonts w:hint="eastAsia" w:ascii="Times New Roman" w:hAnsi="Times New Roman" w:cs="Times New Roman"/>
          <w:color w:val="auto"/>
          <w:highlight w:val="none"/>
        </w:rPr>
      </w:pPr>
      <w:r>
        <w:rPr>
          <w:rFonts w:ascii="Times New Roman" w:hAnsi="Times New Roman" w:cs="Times New Roman"/>
          <w:color w:val="auto"/>
          <w:highlight w:val="none"/>
        </w:rPr>
        <w:t>根据建筑施工场界环境噪声排放标准，施工场界噪声应达到昼间70dB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，夜间55dB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。由单台设备在场界处达标距离昼间约为</w:t>
      </w:r>
      <w:r>
        <w:rPr>
          <w:rFonts w:hint="eastAsia" w:cs="Times New Roman"/>
          <w:color w:val="auto"/>
          <w:highlight w:val="none"/>
          <w:lang w:val="en-US" w:eastAsia="zh-CN"/>
        </w:rPr>
        <w:t>10</w:t>
      </w:r>
      <w:r>
        <w:rPr>
          <w:rFonts w:ascii="Times New Roman" w:hAnsi="Times New Roman" w:cs="Times New Roman"/>
          <w:color w:val="auto"/>
          <w:highlight w:val="none"/>
        </w:rPr>
        <w:t>0m。由于夜间不施工，且场界200m范围内没有居民区。</w:t>
      </w:r>
      <w:r>
        <w:rPr>
          <w:rFonts w:hint="eastAsia" w:ascii="Times New Roman" w:hAnsi="Times New Roman" w:cs="Times New Roman"/>
          <w:color w:val="auto"/>
          <w:highlight w:val="none"/>
        </w:rPr>
        <w:t>项目施工期噪声对周围环境影响较小。</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5.1.3.2施工期交通噪声影响分析</w:t>
      </w:r>
    </w:p>
    <w:p>
      <w:pPr>
        <w:bidi w:val="0"/>
        <w:rPr>
          <w:rFonts w:ascii="Times New Roman" w:hAnsi="Times New Roman" w:cs="Times New Roman"/>
          <w:color w:val="auto"/>
          <w:highlight w:val="none"/>
        </w:rPr>
      </w:pPr>
      <w:r>
        <w:rPr>
          <w:rFonts w:ascii="Times New Roman" w:hAnsi="Times New Roman" w:cs="Times New Roman"/>
          <w:color w:val="auto"/>
          <w:highlight w:val="none"/>
        </w:rPr>
        <w:t>施工期施工设备及建筑材料的运入，将使区域道路车流量增多，经估算高锋时运输车辆将增加20辆/h，均系高吨位货车，其声级值可达85dB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以上，由于是间断运输，对交通噪声贡献量不会很大。但在运输车辆通过时，道路沿线附近居民将受到交通噪声的影响。根据模式计算，当运输车辆车速超过50km/h时，运输沿线道路两侧50m处居民将受到70dB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以上的噪声干扰。</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5.1.3.3评价结论</w:t>
      </w:r>
    </w:p>
    <w:p>
      <w:pPr>
        <w:bidi w:val="0"/>
        <w:rPr>
          <w:rFonts w:ascii="Times New Roman" w:hAnsi="Times New Roman" w:cs="Times New Roman"/>
          <w:color w:val="auto"/>
          <w:highlight w:val="none"/>
        </w:rPr>
      </w:pPr>
      <w:r>
        <w:rPr>
          <w:rFonts w:ascii="Times New Roman" w:hAnsi="Times New Roman" w:cs="Times New Roman"/>
          <w:color w:val="auto"/>
          <w:highlight w:val="none"/>
        </w:rPr>
        <w:t>本项目场界200m范围内没有居民区，施工场界噪声应达到昼间70dB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，夜间55dB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。施工期施工设备及建筑材料的运入，将使运输线路车流量增多约20辆/h，对交通噪声贡献较小。当运输车辆车速超过50km/h时，运输沿线道路两侧居民将受到70dB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以上的噪声干扰，因此在经过居民区路段时，应限速行驶，并禁止22：00-凌晨6：00运输。</w:t>
      </w:r>
    </w:p>
    <w:p>
      <w:pPr>
        <w:pStyle w:val="7"/>
        <w:bidi w:val="0"/>
        <w:rPr>
          <w:color w:val="auto"/>
          <w:highlight w:val="none"/>
        </w:rPr>
      </w:pPr>
      <w:bookmarkStart w:id="1015" w:name="_Toc17495"/>
      <w:r>
        <w:rPr>
          <w:color w:val="auto"/>
          <w:highlight w:val="none"/>
        </w:rPr>
        <w:t>5.1.4施工期的固废影响分析</w:t>
      </w:r>
      <w:bookmarkEnd w:id="1015"/>
    </w:p>
    <w:p>
      <w:pPr>
        <w:bidi w:val="0"/>
        <w:rPr>
          <w:rFonts w:ascii="Times New Roman" w:hAnsi="Times New Roman" w:cs="Times New Roman"/>
          <w:color w:val="auto"/>
          <w:highlight w:val="none"/>
        </w:rPr>
      </w:pPr>
      <w:r>
        <w:rPr>
          <w:rFonts w:ascii="Times New Roman" w:hAnsi="Times New Roman" w:cs="Times New Roman"/>
          <w:color w:val="auto"/>
          <w:highlight w:val="none"/>
        </w:rPr>
        <w:t>施工期间建筑工地会产生大量余泥、渣土、地表开挖的余泥、施工剩余废物料等。如不妥善处理这些建筑固体废弃物，则会阻碍交通，污染环境。在运输过程中，车辆如不注意清洁运输，沿途撒漏泥土，污染街道和公路，影响城市容貌与交通。</w:t>
      </w:r>
    </w:p>
    <w:p>
      <w:pPr>
        <w:bidi w:val="0"/>
        <w:rPr>
          <w:rFonts w:ascii="Times New Roman" w:hAnsi="Times New Roman" w:cs="Times New Roman"/>
          <w:color w:val="auto"/>
          <w:highlight w:val="none"/>
        </w:rPr>
      </w:pPr>
      <w:r>
        <w:rPr>
          <w:rFonts w:ascii="Times New Roman" w:hAnsi="Times New Roman" w:cs="Times New Roman"/>
          <w:color w:val="auto"/>
          <w:highlight w:val="none"/>
        </w:rPr>
        <w:t>对建筑垃圾，可回收利用的应尽量回收。不能回收的应及时处理，防止因长期堆放产生扬尘等污染。生活垃圾应定点堆放，定期清运至垃圾处理场或填埋，严禁乱堆乱扔等治理措施后，经过上述措施后施工期固体废物对环境影响较小。</w:t>
      </w:r>
    </w:p>
    <w:p>
      <w:pPr>
        <w:pStyle w:val="7"/>
        <w:bidi w:val="0"/>
        <w:rPr>
          <w:rFonts w:ascii="Times New Roman" w:hAnsi="Times New Roman" w:cs="Times New Roman"/>
          <w:color w:val="auto"/>
          <w:highlight w:val="none"/>
        </w:rPr>
      </w:pPr>
      <w:bookmarkStart w:id="1016" w:name="_Toc31589"/>
      <w:r>
        <w:rPr>
          <w:rFonts w:ascii="Times New Roman" w:hAnsi="Times New Roman" w:cs="Times New Roman"/>
          <w:color w:val="auto"/>
          <w:highlight w:val="none"/>
        </w:rPr>
        <w:t>5.1.</w:t>
      </w:r>
      <w:r>
        <w:rPr>
          <w:rFonts w:hint="eastAsia" w:ascii="Times New Roman" w:hAnsi="Times New Roman" w:cs="Times New Roman"/>
          <w:color w:val="auto"/>
          <w:highlight w:val="none"/>
          <w:lang w:val="en-US" w:eastAsia="zh-CN"/>
        </w:rPr>
        <w:t>5</w:t>
      </w:r>
      <w:r>
        <w:rPr>
          <w:rFonts w:ascii="Times New Roman" w:hAnsi="Times New Roman" w:cs="Times New Roman"/>
          <w:color w:val="auto"/>
          <w:highlight w:val="none"/>
        </w:rPr>
        <w:t>生态环境影响评价</w:t>
      </w:r>
      <w:bookmarkEnd w:id="1016"/>
    </w:p>
    <w:p>
      <w:pPr>
        <w:bidi w:val="0"/>
        <w:rPr>
          <w:color w:val="auto"/>
          <w:highlight w:val="none"/>
        </w:rPr>
      </w:pPr>
      <w:r>
        <w:rPr>
          <w:color w:val="auto"/>
          <w:highlight w:val="none"/>
        </w:rPr>
        <w:t>本项目是在现有的厂区内进行改建，</w:t>
      </w:r>
      <w:r>
        <w:rPr>
          <w:rFonts w:hint="eastAsia"/>
          <w:color w:val="auto"/>
          <w:highlight w:val="none"/>
          <w:lang w:val="en-US" w:eastAsia="zh-CN"/>
        </w:rPr>
        <w:t>不</w:t>
      </w:r>
      <w:r>
        <w:rPr>
          <w:color w:val="auto"/>
          <w:highlight w:val="none"/>
        </w:rPr>
        <w:t>新增用地，不改变土地使用性质，对厂区内地表土层和植被破坏较小，造成的水土流失较小，不会影响区域植被的生长，不会导致生态环境的恶化。</w:t>
      </w:r>
    </w:p>
    <w:p>
      <w:pPr>
        <w:bidi w:val="0"/>
        <w:rPr>
          <w:color w:val="auto"/>
          <w:highlight w:val="none"/>
        </w:rPr>
      </w:pPr>
      <w:r>
        <w:rPr>
          <w:color w:val="auto"/>
          <w:highlight w:val="none"/>
        </w:rPr>
        <w:t>施工期间粉尘和车辆废气排放对陆域生态环境的影响主要为此类污染物排放对周边植被的影响。粉尘和烟尘会在植物叶片表面沉降，使叶片表面积尘成层而影响植物光合作用、呼吸作用和蒸腾作用，造成减产。通常粒径大于1μm的颗粒物在扩散过程中可自然沉降，吸附于植物叶片上，阻塞气孔，影响生长，使叶片褪色、变硬，植物生长不良。颗粒物与SO</w:t>
      </w:r>
      <w:r>
        <w:rPr>
          <w:color w:val="auto"/>
          <w:highlight w:val="none"/>
          <w:vertAlign w:val="subscript"/>
        </w:rPr>
        <w:t>2</w:t>
      </w:r>
      <w:r>
        <w:rPr>
          <w:color w:val="auto"/>
          <w:highlight w:val="none"/>
        </w:rPr>
        <w:t>的协同作用可增强SO</w:t>
      </w:r>
      <w:r>
        <w:rPr>
          <w:color w:val="auto"/>
          <w:highlight w:val="none"/>
          <w:vertAlign w:val="subscript"/>
        </w:rPr>
        <w:t>2</w:t>
      </w:r>
      <w:r>
        <w:rPr>
          <w:color w:val="auto"/>
          <w:highlight w:val="none"/>
        </w:rPr>
        <w:t>的毒性，加大叶片受害症状。另外，粉尘落到田间会影响土壤透水透气性，不利于植物吸收土壤养分，间接造成植物生长缓慢，导致农作物减产。</w:t>
      </w:r>
    </w:p>
    <w:p>
      <w:pPr>
        <w:bidi w:val="0"/>
        <w:rPr>
          <w:color w:val="auto"/>
          <w:highlight w:val="none"/>
        </w:rPr>
      </w:pPr>
      <w:r>
        <w:rPr>
          <w:color w:val="auto"/>
          <w:highlight w:val="none"/>
        </w:rPr>
        <w:t>本项目是在现有的厂区内进行改建，施工期粉尘和烟尘排放量较小，其影响范围主要是在厂区内，因此在正常排放情况下，项目废气排放对周边植被生长的影响较小。</w:t>
      </w:r>
      <w:bookmarkStart w:id="1017" w:name="_Toc28036"/>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1018" w:name="_Toc32667"/>
      <w:r>
        <w:rPr>
          <w:rFonts w:hint="eastAsia" w:ascii="Times New Roman" w:hAnsi="Times New Roman" w:eastAsia="宋体" w:cs="Times New Roman"/>
          <w:bCs w:val="0"/>
          <w:color w:val="auto"/>
          <w:kern w:val="2"/>
          <w:szCs w:val="20"/>
          <w:highlight w:val="none"/>
          <w:lang w:val="en-US" w:bidi="ar-SA"/>
        </w:rPr>
        <w:t>5.2运营期环境影响评价</w:t>
      </w:r>
      <w:bookmarkEnd w:id="1003"/>
      <w:bookmarkEnd w:id="1004"/>
      <w:bookmarkEnd w:id="1005"/>
      <w:bookmarkEnd w:id="1006"/>
      <w:bookmarkEnd w:id="1007"/>
      <w:bookmarkEnd w:id="1008"/>
      <w:bookmarkEnd w:id="1009"/>
      <w:bookmarkEnd w:id="1017"/>
      <w:bookmarkEnd w:id="1018"/>
    </w:p>
    <w:p>
      <w:pPr>
        <w:pStyle w:val="7"/>
        <w:bidi w:val="0"/>
        <w:rPr>
          <w:color w:val="auto"/>
          <w:highlight w:val="none"/>
        </w:rPr>
      </w:pPr>
      <w:bookmarkStart w:id="1019" w:name="_Toc19258"/>
      <w:bookmarkStart w:id="1020" w:name="_Toc13782"/>
      <w:bookmarkStart w:id="1021" w:name="_Toc15203"/>
      <w:bookmarkStart w:id="1022" w:name="_Toc9238"/>
      <w:bookmarkStart w:id="1023" w:name="_Toc333"/>
      <w:bookmarkStart w:id="1024" w:name="_Toc14468"/>
      <w:r>
        <w:rPr>
          <w:color w:val="auto"/>
          <w:highlight w:val="none"/>
        </w:rPr>
        <w:t>5.2.1地表水影响分析</w:t>
      </w:r>
      <w:bookmarkEnd w:id="1019"/>
      <w:bookmarkEnd w:id="1020"/>
      <w:bookmarkEnd w:id="1021"/>
      <w:bookmarkEnd w:id="1022"/>
      <w:bookmarkEnd w:id="1023"/>
      <w:bookmarkEnd w:id="1024"/>
    </w:p>
    <w:p>
      <w:pPr>
        <w:bidi w:val="0"/>
        <w:rPr>
          <w:rFonts w:hint="eastAsia"/>
          <w:color w:val="auto"/>
          <w:highlight w:val="none"/>
        </w:rPr>
      </w:pPr>
      <w:r>
        <w:rPr>
          <w:rFonts w:hint="eastAsia"/>
          <w:color w:val="auto"/>
          <w:highlight w:val="none"/>
          <w:lang w:eastAsia="zh-CN"/>
        </w:rPr>
        <w:t>（</w:t>
      </w:r>
      <w:r>
        <w:rPr>
          <w:rFonts w:hint="eastAsia"/>
          <w:color w:val="auto"/>
          <w:highlight w:val="none"/>
        </w:rPr>
        <w:t>1）废水正常排放影响分析</w:t>
      </w:r>
    </w:p>
    <w:p>
      <w:pPr>
        <w:bidi w:val="0"/>
        <w:rPr>
          <w:color w:val="auto"/>
          <w:highlight w:val="none"/>
        </w:rPr>
      </w:pPr>
      <w:r>
        <w:rPr>
          <w:color w:val="auto"/>
          <w:highlight w:val="none"/>
        </w:rPr>
        <w:t>本项目</w:t>
      </w:r>
      <w:r>
        <w:rPr>
          <w:rFonts w:hint="eastAsia"/>
          <w:color w:val="auto"/>
          <w:highlight w:val="none"/>
          <w:lang w:eastAsia="zh-CN"/>
        </w:rPr>
        <w:t>锅炉排污水及</w:t>
      </w:r>
      <w:r>
        <w:rPr>
          <w:color w:val="auto"/>
          <w:highlight w:val="none"/>
        </w:rPr>
        <w:t>工程生产过程中产生的废水主要是斜筛脱水机脱下的水、网下、压榨脱下的水和锅炉排水，</w:t>
      </w:r>
      <w:r>
        <w:rPr>
          <w:rFonts w:hint="eastAsia"/>
          <w:color w:val="auto"/>
          <w:highlight w:val="none"/>
          <w:lang w:val="en-US" w:eastAsia="zh-CN"/>
        </w:rPr>
        <w:t>生活污水采用防渗旱厕回收还田。</w:t>
      </w:r>
      <w:r>
        <w:rPr>
          <w:color w:val="auto"/>
          <w:highlight w:val="none"/>
        </w:rPr>
        <w:t>本项目利用</w:t>
      </w:r>
      <w:r>
        <w:rPr>
          <w:rFonts w:hint="eastAsia"/>
          <w:color w:val="auto"/>
          <w:highlight w:val="none"/>
        </w:rPr>
        <w:t>漂白针叶木浆和</w:t>
      </w:r>
      <w:r>
        <w:rPr>
          <w:rFonts w:hint="eastAsia"/>
          <w:color w:val="auto"/>
          <w:highlight w:val="none"/>
          <w:lang w:eastAsia="zh-CN"/>
        </w:rPr>
        <w:t>木浆成份纸板</w:t>
      </w:r>
      <w:r>
        <w:rPr>
          <w:color w:val="auto"/>
          <w:highlight w:val="none"/>
        </w:rPr>
        <w:t>为原料，生产废水主要成分为原料带入的细沙、泥土等无机物，有机物含量较少，本项目采用</w:t>
      </w:r>
      <w:r>
        <w:rPr>
          <w:rFonts w:hint="eastAsia"/>
          <w:color w:val="auto"/>
          <w:highlight w:val="none"/>
          <w:lang w:val="en-US" w:eastAsia="zh-CN"/>
        </w:rPr>
        <w:t>高效浅层</w:t>
      </w:r>
      <w:r>
        <w:rPr>
          <w:rFonts w:hint="eastAsia"/>
          <w:color w:val="auto"/>
          <w:highlight w:val="none"/>
        </w:rPr>
        <w:t>气浮+A/O生化+</w:t>
      </w:r>
      <w:r>
        <w:rPr>
          <w:rFonts w:hint="eastAsia"/>
          <w:color w:val="auto"/>
          <w:highlight w:val="none"/>
          <w:lang w:val="en-US" w:eastAsia="zh-CN"/>
        </w:rPr>
        <w:t>混凝</w:t>
      </w:r>
      <w:r>
        <w:rPr>
          <w:rFonts w:hint="eastAsia"/>
          <w:color w:val="auto"/>
          <w:highlight w:val="none"/>
        </w:rPr>
        <w:t>沉淀</w:t>
      </w:r>
      <w:r>
        <w:rPr>
          <w:color w:val="auto"/>
          <w:highlight w:val="none"/>
        </w:rPr>
        <w:t>工艺对污水进行处理，废水经集水池收集后</w:t>
      </w:r>
      <w:r>
        <w:rPr>
          <w:rFonts w:hint="eastAsia"/>
          <w:color w:val="auto"/>
          <w:highlight w:val="none"/>
          <w:lang w:eastAsia="zh-CN"/>
        </w:rPr>
        <w:t>，</w:t>
      </w:r>
      <w:r>
        <w:rPr>
          <w:color w:val="auto"/>
          <w:highlight w:val="none"/>
        </w:rPr>
        <w:t>经</w:t>
      </w:r>
      <w:r>
        <w:rPr>
          <w:rFonts w:hint="eastAsia"/>
          <w:color w:val="auto"/>
          <w:highlight w:val="none"/>
        </w:rPr>
        <w:t>气浮+A/O生化+沉淀</w:t>
      </w:r>
      <w:r>
        <w:rPr>
          <w:rFonts w:hint="eastAsia"/>
          <w:color w:val="auto"/>
          <w:highlight w:val="none"/>
          <w:lang w:eastAsia="zh-CN"/>
        </w:rPr>
        <w:t>工艺进行处理</w:t>
      </w:r>
      <w:r>
        <w:rPr>
          <w:color w:val="auto"/>
          <w:highlight w:val="none"/>
        </w:rPr>
        <w:t>，</w:t>
      </w:r>
      <w:r>
        <w:rPr>
          <w:rFonts w:hint="eastAsia"/>
          <w:color w:val="auto"/>
          <w:highlight w:val="none"/>
          <w:lang w:eastAsia="zh-CN"/>
        </w:rPr>
        <w:t>处理</w:t>
      </w:r>
      <w:r>
        <w:rPr>
          <w:color w:val="auto"/>
          <w:highlight w:val="none"/>
        </w:rPr>
        <w:t>后再回用于生产工艺，不排入地表水体，不会对地表水体产生影响。</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废水事故情况影响分析</w:t>
      </w:r>
    </w:p>
    <w:p>
      <w:pPr>
        <w:bidi w:val="0"/>
        <w:rPr>
          <w:color w:val="auto"/>
          <w:highlight w:val="none"/>
        </w:rPr>
      </w:pPr>
      <w:r>
        <w:rPr>
          <w:color w:val="auto"/>
          <w:highlight w:val="none"/>
        </w:rPr>
        <w:t>本项目如遇到污水处理站设备故障，将立即停止生产，项目废水暂存在</w:t>
      </w:r>
      <w:r>
        <w:rPr>
          <w:rFonts w:hint="eastAsia"/>
          <w:color w:val="auto"/>
          <w:highlight w:val="none"/>
          <w:lang w:val="en-US" w:eastAsia="zh-CN"/>
        </w:rPr>
        <w:t>污水处理站事故池</w:t>
      </w:r>
      <w:r>
        <w:rPr>
          <w:color w:val="auto"/>
          <w:highlight w:val="none"/>
        </w:rPr>
        <w:t>中，待污水处理设备正常运行后恢复生产。</w:t>
      </w:r>
    </w:p>
    <w:bookmarkEnd w:id="1010"/>
    <w:bookmarkEnd w:id="1011"/>
    <w:p>
      <w:pPr>
        <w:pStyle w:val="7"/>
        <w:bidi w:val="0"/>
        <w:rPr>
          <w:color w:val="auto"/>
          <w:highlight w:val="none"/>
        </w:rPr>
      </w:pPr>
      <w:bookmarkStart w:id="1025" w:name="_Toc13514"/>
      <w:bookmarkStart w:id="1026" w:name="_Toc18502"/>
      <w:bookmarkStart w:id="1027" w:name="_Toc16191"/>
      <w:bookmarkStart w:id="1028" w:name="_Toc27189"/>
      <w:bookmarkStart w:id="1029" w:name="_Toc16580"/>
      <w:bookmarkStart w:id="1030" w:name="_Toc12534"/>
      <w:r>
        <w:rPr>
          <w:color w:val="auto"/>
          <w:highlight w:val="none"/>
        </w:rPr>
        <w:t>5.2.2环境空气影响评价</w:t>
      </w:r>
      <w:bookmarkEnd w:id="1025"/>
      <w:bookmarkEnd w:id="1026"/>
      <w:bookmarkEnd w:id="1027"/>
      <w:bookmarkEnd w:id="1028"/>
      <w:bookmarkEnd w:id="1029"/>
      <w:bookmarkEnd w:id="1030"/>
    </w:p>
    <w:p>
      <w:pPr>
        <w:bidi w:val="0"/>
        <w:rPr>
          <w:color w:val="auto"/>
          <w:highlight w:val="none"/>
        </w:rPr>
      </w:pPr>
      <w:bookmarkStart w:id="1031" w:name="_Toc26587"/>
      <w:bookmarkStart w:id="1032" w:name="_Toc28908"/>
      <w:bookmarkStart w:id="1033" w:name="_Toc1190"/>
      <w:bookmarkStart w:id="1034" w:name="_Toc29431"/>
      <w:bookmarkStart w:id="1035" w:name="_Toc13059"/>
      <w:bookmarkStart w:id="1036" w:name="_Toc24369"/>
      <w:bookmarkStart w:id="1037" w:name="_Toc13767"/>
      <w:r>
        <w:rPr>
          <w:color w:val="auto"/>
          <w:highlight w:val="none"/>
        </w:rPr>
        <w:t>根据《环境影响评价技术导则-大气环境》（HJ2.2-2018），对于二级评价项目一般性要求是不进行进一步预测与评价，只对污染物排放量进行核算；提出污染源监测计划。</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5.2.2.1</w:t>
      </w:r>
      <w:r>
        <w:rPr>
          <w:spacing w:val="-2"/>
          <w:sz w:val="24"/>
        </w:rPr>
        <w:t>污染物排放量核算</w:t>
      </w:r>
    </w:p>
    <w:p>
      <w:pPr>
        <w:bidi w:val="0"/>
        <w:rPr>
          <w:color w:val="auto"/>
          <w:highlight w:val="none"/>
        </w:rPr>
      </w:pPr>
      <w:r>
        <w:rPr>
          <w:color w:val="auto"/>
          <w:highlight w:val="none"/>
        </w:rPr>
        <w:t>本项目大气污染物有组织排放量核算见表 5.2</w:t>
      </w:r>
      <w:r>
        <w:rPr>
          <w:rFonts w:hint="eastAsia"/>
          <w:color w:val="auto"/>
          <w:highlight w:val="none"/>
          <w:lang w:val="en-US" w:eastAsia="zh-CN"/>
        </w:rPr>
        <w:t>.2.1</w:t>
      </w:r>
      <w:r>
        <w:rPr>
          <w:color w:val="auto"/>
          <w:highlight w:val="none"/>
        </w:rPr>
        <w:t>-</w:t>
      </w:r>
      <w:r>
        <w:rPr>
          <w:rFonts w:hint="eastAsia"/>
          <w:color w:val="auto"/>
          <w:highlight w:val="none"/>
          <w:lang w:val="en-US" w:eastAsia="zh-CN"/>
        </w:rPr>
        <w:t>1</w:t>
      </w:r>
      <w:r>
        <w:rPr>
          <w:color w:val="auto"/>
          <w:highlight w:val="none"/>
        </w:rPr>
        <w:t>。</w:t>
      </w:r>
    </w:p>
    <w:p>
      <w:pPr>
        <w:bidi w:val="0"/>
        <w:rPr>
          <w:color w:val="auto"/>
          <w:highlight w:val="none"/>
        </w:rPr>
      </w:pPr>
      <w:r>
        <w:rPr>
          <w:color w:val="auto"/>
          <w:highlight w:val="none"/>
        </w:rPr>
        <w:t>表  5.2</w:t>
      </w:r>
      <w:r>
        <w:rPr>
          <w:rFonts w:hint="eastAsia"/>
          <w:color w:val="auto"/>
          <w:highlight w:val="none"/>
          <w:lang w:val="en-US" w:eastAsia="zh-CN"/>
        </w:rPr>
        <w:t>.2.1</w:t>
      </w:r>
      <w:r>
        <w:rPr>
          <w:color w:val="auto"/>
          <w:highlight w:val="none"/>
        </w:rPr>
        <w:t>-</w:t>
      </w:r>
      <w:r>
        <w:rPr>
          <w:rFonts w:hint="eastAsia"/>
          <w:color w:val="auto"/>
          <w:highlight w:val="none"/>
          <w:lang w:val="en-US" w:eastAsia="zh-CN"/>
        </w:rPr>
        <w:t>1</w:t>
      </w:r>
      <w:r>
        <w:rPr>
          <w:color w:val="auto"/>
          <w:highlight w:val="none"/>
        </w:rPr>
        <w:tab/>
      </w:r>
      <w:r>
        <w:rPr>
          <w:rFonts w:hint="eastAsia"/>
          <w:color w:val="auto"/>
          <w:highlight w:val="none"/>
          <w:lang w:val="en-US" w:eastAsia="zh-CN"/>
        </w:rPr>
        <w:t xml:space="preserve">             </w:t>
      </w:r>
      <w:r>
        <w:rPr>
          <w:color w:val="auto"/>
          <w:highlight w:val="none"/>
        </w:rPr>
        <w:t>大气污染物有组织排放量核算表</w:t>
      </w:r>
    </w:p>
    <w:tbl>
      <w:tblPr>
        <w:tblStyle w:val="23"/>
        <w:tblW w:w="8889" w:type="dxa"/>
        <w:tblInd w:w="2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88"/>
        <w:gridCol w:w="1461"/>
        <w:gridCol w:w="2355"/>
        <w:gridCol w:w="2115"/>
        <w:gridCol w:w="237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2" w:hRule="atLeast"/>
        </w:trPr>
        <w:tc>
          <w:tcPr>
            <w:tcW w:w="588" w:type="dxa"/>
            <w:tcBorders>
              <w:left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1461" w:type="dxa"/>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排放口编号</w:t>
            </w:r>
          </w:p>
        </w:tc>
        <w:tc>
          <w:tcPr>
            <w:tcW w:w="2355" w:type="dxa"/>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污染物</w:t>
            </w:r>
          </w:p>
        </w:tc>
        <w:tc>
          <w:tcPr>
            <w:tcW w:w="2115" w:type="dxa"/>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核算排放浓度/</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（mg/m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p>
        </w:tc>
        <w:tc>
          <w:tcPr>
            <w:tcW w:w="2370" w:type="dxa"/>
            <w:tcBorders>
              <w:left w:val="single" w:color="000000" w:sz="4" w:space="0"/>
              <w:bottom w:val="single" w:color="000000" w:sz="4" w:space="0"/>
              <w:right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核算年排放量/（t/a）</w:t>
            </w:r>
          </w:p>
        </w:tc>
      </w:tr>
    </w:tbl>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一般排放口</w:t>
      </w:r>
    </w:p>
    <w:tbl>
      <w:tblPr>
        <w:tblStyle w:val="23"/>
        <w:tblW w:w="8858" w:type="dxa"/>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7"/>
        <w:gridCol w:w="1401"/>
        <w:gridCol w:w="2358"/>
        <w:gridCol w:w="2114"/>
        <w:gridCol w:w="23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627" w:type="dxa"/>
            <w:vMerge w:val="restart"/>
            <w:tcBorders>
              <w:lef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1401" w:type="dxa"/>
            <w:vMerge w:val="restart"/>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生产锅炉烟气排</w:t>
            </w:r>
            <w:r>
              <w:rPr>
                <w:rFonts w:ascii="Times New Roman" w:hAnsi="Times New Roman" w:eastAsia="宋体" w:cs="Times New Roman"/>
                <w:caps w:val="0"/>
                <w:smallCaps w:val="0"/>
                <w:color w:val="auto"/>
                <w:spacing w:val="0"/>
                <w:w w:val="100"/>
                <w:position w:val="0"/>
                <w:sz w:val="21"/>
                <w:szCs w:val="21"/>
                <w:highlight w:val="none"/>
              </w:rPr>
              <w:tab/>
            </w:r>
            <w:r>
              <w:rPr>
                <w:rFonts w:ascii="Times New Roman" w:hAnsi="Times New Roman" w:eastAsia="宋体" w:cs="Times New Roman"/>
                <w:caps w:val="0"/>
                <w:smallCaps w:val="0"/>
                <w:color w:val="auto"/>
                <w:spacing w:val="0"/>
                <w:w w:val="100"/>
                <w:position w:val="0"/>
                <w:sz w:val="21"/>
                <w:szCs w:val="21"/>
                <w:highlight w:val="none"/>
              </w:rPr>
              <w:t>放</w:t>
            </w:r>
            <w:r>
              <w:rPr>
                <w:rFonts w:ascii="Times New Roman" w:hAnsi="Times New Roman" w:eastAsia="宋体" w:cs="Times New Roman"/>
                <w:caps w:val="0"/>
                <w:smallCaps w:val="0"/>
                <w:color w:val="auto"/>
                <w:spacing w:val="0"/>
                <w:w w:val="100"/>
                <w:position w:val="0"/>
                <w:sz w:val="21"/>
                <w:szCs w:val="21"/>
                <w:highlight w:val="none"/>
              </w:rPr>
              <w:tab/>
            </w:r>
            <w:r>
              <w:rPr>
                <w:rFonts w:ascii="Times New Roman" w:hAnsi="Times New Roman" w:eastAsia="宋体" w:cs="Times New Roman"/>
                <w:caps w:val="0"/>
                <w:smallCaps w:val="0"/>
                <w:color w:val="auto"/>
                <w:spacing w:val="0"/>
                <w:w w:val="100"/>
                <w:position w:val="0"/>
                <w:sz w:val="21"/>
                <w:szCs w:val="21"/>
                <w:highlight w:val="none"/>
              </w:rPr>
              <w:t>口</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（DA001）</w:t>
            </w:r>
          </w:p>
        </w:tc>
        <w:tc>
          <w:tcPr>
            <w:tcW w:w="2358"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2114"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54.2</w:t>
            </w:r>
          </w:p>
        </w:tc>
        <w:tc>
          <w:tcPr>
            <w:tcW w:w="2358" w:type="dxa"/>
            <w:tcBorders>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627" w:type="dxa"/>
            <w:vMerge w:val="continue"/>
            <w:tcBorders>
              <w:top w:val="nil"/>
              <w:lef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401" w:type="dxa"/>
            <w:vMerge w:val="continue"/>
            <w:tcBorders>
              <w:top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358"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X</w:t>
            </w:r>
          </w:p>
        </w:tc>
        <w:tc>
          <w:tcPr>
            <w:tcW w:w="2114"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163.5</w:t>
            </w:r>
          </w:p>
        </w:tc>
        <w:tc>
          <w:tcPr>
            <w:tcW w:w="2358" w:type="dxa"/>
            <w:tcBorders>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4.25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627" w:type="dxa"/>
            <w:vMerge w:val="continue"/>
            <w:tcBorders>
              <w:top w:val="nil"/>
              <w:lef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401" w:type="dxa"/>
            <w:vMerge w:val="continue"/>
            <w:tcBorders>
              <w:top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358"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颗粒物</w:t>
            </w:r>
          </w:p>
        </w:tc>
        <w:tc>
          <w:tcPr>
            <w:tcW w:w="2114"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0.24</w:t>
            </w:r>
          </w:p>
        </w:tc>
        <w:tc>
          <w:tcPr>
            <w:tcW w:w="2358" w:type="dxa"/>
            <w:tcBorders>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0.00625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627" w:type="dxa"/>
            <w:vMerge w:val="restart"/>
            <w:tcBorders>
              <w:lef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3</w:t>
            </w:r>
          </w:p>
        </w:tc>
        <w:tc>
          <w:tcPr>
            <w:tcW w:w="1401" w:type="dxa"/>
            <w:vMerge w:val="restart"/>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污水处理站排</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放口（DA00</w:t>
            </w:r>
            <w:r>
              <w:rPr>
                <w:rFonts w:hint="eastAsia" w:ascii="Times New Roman" w:cs="Times New Roman"/>
                <w:caps w:val="0"/>
                <w:smallCaps w:val="0"/>
                <w:color w:val="auto"/>
                <w:spacing w:val="0"/>
                <w:w w:val="100"/>
                <w:position w:val="0"/>
                <w:sz w:val="21"/>
                <w:szCs w:val="21"/>
                <w:highlight w:val="none"/>
                <w:lang w:val="en-US" w:eastAsia="zh-CN"/>
              </w:rPr>
              <w:t>2</w:t>
            </w:r>
          </w:p>
        </w:tc>
        <w:tc>
          <w:tcPr>
            <w:tcW w:w="2358"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氨气</w:t>
            </w:r>
          </w:p>
        </w:tc>
        <w:tc>
          <w:tcPr>
            <w:tcW w:w="2114"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val="en-US" w:eastAsia="zh-CN"/>
              </w:rPr>
              <w:t>/</w:t>
            </w:r>
          </w:p>
        </w:tc>
        <w:tc>
          <w:tcPr>
            <w:tcW w:w="2358" w:type="dxa"/>
            <w:tcBorders>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0.0648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627" w:type="dxa"/>
            <w:vMerge w:val="continue"/>
            <w:tcBorders>
              <w:top w:val="nil"/>
              <w:lef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401" w:type="dxa"/>
            <w:vMerge w:val="continue"/>
            <w:tcBorders>
              <w:top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358"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硫化氢</w:t>
            </w:r>
          </w:p>
        </w:tc>
        <w:tc>
          <w:tcPr>
            <w:tcW w:w="2114" w:type="dxa"/>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val="en-US" w:eastAsia="zh-CN"/>
              </w:rPr>
              <w:t>/</w:t>
            </w:r>
          </w:p>
        </w:tc>
        <w:tc>
          <w:tcPr>
            <w:tcW w:w="2358" w:type="dxa"/>
            <w:tcBorders>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0.00252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2028" w:type="dxa"/>
            <w:gridSpan w:val="2"/>
            <w:vMerge w:val="restart"/>
            <w:tcBorders>
              <w:left w:val="nil"/>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一般排放口合计</w:t>
            </w:r>
          </w:p>
        </w:tc>
        <w:tc>
          <w:tcPr>
            <w:tcW w:w="4472" w:type="dxa"/>
            <w:gridSpan w:val="2"/>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2358" w:type="dxa"/>
            <w:tcBorders>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1.41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2028" w:type="dxa"/>
            <w:gridSpan w:val="2"/>
            <w:vMerge w:val="continue"/>
            <w:tcBorders>
              <w:top w:val="nil"/>
              <w:left w:val="nil"/>
              <w:bottom w:val="single" w:color="000000" w:sz="12"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4472" w:type="dxa"/>
            <w:gridSpan w:val="2"/>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NO</w:t>
            </w:r>
            <w:r>
              <w:rPr>
                <w:rFonts w:ascii="Times New Roman" w:hAnsi="Times New Roman" w:eastAsia="宋体" w:cs="Times New Roman"/>
                <w:caps w:val="0"/>
                <w:smallCaps w:val="0"/>
                <w:color w:val="auto"/>
                <w:spacing w:val="0"/>
                <w:w w:val="100"/>
                <w:position w:val="0"/>
                <w:sz w:val="21"/>
                <w:szCs w:val="21"/>
                <w:highlight w:val="none"/>
                <w:vertAlign w:val="subscript"/>
              </w:rPr>
              <w:t>X</w:t>
            </w:r>
          </w:p>
        </w:tc>
        <w:tc>
          <w:tcPr>
            <w:tcW w:w="2358" w:type="dxa"/>
            <w:tcBorders>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4.25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2028" w:type="dxa"/>
            <w:gridSpan w:val="2"/>
            <w:vMerge w:val="continue"/>
            <w:tcBorders>
              <w:top w:val="nil"/>
              <w:left w:val="nil"/>
              <w:bottom w:val="single" w:color="000000" w:sz="12"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4472" w:type="dxa"/>
            <w:gridSpan w:val="2"/>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颗粒物</w:t>
            </w:r>
          </w:p>
        </w:tc>
        <w:tc>
          <w:tcPr>
            <w:tcW w:w="2358" w:type="dxa"/>
            <w:tcBorders>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0.00625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2028" w:type="dxa"/>
            <w:gridSpan w:val="2"/>
            <w:vMerge w:val="continue"/>
            <w:tcBorders>
              <w:top w:val="nil"/>
              <w:left w:val="nil"/>
              <w:bottom w:val="single" w:color="000000" w:sz="12"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4472" w:type="dxa"/>
            <w:gridSpan w:val="2"/>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氨气</w:t>
            </w:r>
          </w:p>
        </w:tc>
        <w:tc>
          <w:tcPr>
            <w:tcW w:w="2358" w:type="dxa"/>
            <w:tcBorders>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0.0648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2028" w:type="dxa"/>
            <w:gridSpan w:val="2"/>
            <w:vMerge w:val="continue"/>
            <w:tcBorders>
              <w:top w:val="nil"/>
              <w:left w:val="nil"/>
              <w:bottom w:val="single" w:color="000000" w:sz="12"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4472" w:type="dxa"/>
            <w:gridSpan w:val="2"/>
            <w:tcBorders>
              <w:bottom w:val="single" w:color="000000" w:sz="12"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硫化氢</w:t>
            </w:r>
          </w:p>
        </w:tc>
        <w:tc>
          <w:tcPr>
            <w:tcW w:w="2358" w:type="dxa"/>
            <w:tcBorders>
              <w:bottom w:val="single" w:color="000000" w:sz="12"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cs="Times New Roman"/>
                <w:caps w:val="0"/>
                <w:smallCaps w:val="0"/>
                <w:color w:val="auto"/>
                <w:spacing w:val="0"/>
                <w:w w:val="100"/>
                <w:position w:val="0"/>
                <w:sz w:val="21"/>
                <w:szCs w:val="21"/>
                <w:highlight w:val="none"/>
                <w:lang w:val="en-US" w:eastAsia="zh-CN"/>
              </w:rPr>
              <w:t>0.00252</w:t>
            </w:r>
          </w:p>
        </w:tc>
      </w:tr>
    </w:tbl>
    <w:p>
      <w:pPr>
        <w:bidi w:val="0"/>
        <w:rPr>
          <w:color w:val="auto"/>
          <w:highlight w:val="none"/>
        </w:rPr>
      </w:pPr>
      <w:r>
        <w:rPr>
          <w:color w:val="auto"/>
          <w:highlight w:val="none"/>
        </w:rPr>
        <w:t>本项目大气污染物无组织排放量核算见表 5.2-4。</w:t>
      </w:r>
    </w:p>
    <w:p>
      <w:pPr>
        <w:bidi w:val="0"/>
        <w:rPr>
          <w:color w:val="auto"/>
          <w:highlight w:val="none"/>
        </w:rPr>
      </w:pPr>
      <w:r>
        <w:rPr>
          <w:color w:val="auto"/>
          <w:highlight w:val="none"/>
        </w:rPr>
        <w:t>表 5.2-4</w:t>
      </w:r>
      <w:r>
        <w:rPr>
          <w:color w:val="auto"/>
          <w:highlight w:val="none"/>
        </w:rPr>
        <w:tab/>
      </w:r>
      <w:r>
        <w:rPr>
          <w:rFonts w:hint="eastAsia"/>
          <w:color w:val="auto"/>
          <w:highlight w:val="none"/>
          <w:lang w:val="en-US" w:eastAsia="zh-CN"/>
        </w:rPr>
        <w:t xml:space="preserve">          </w:t>
      </w:r>
      <w:r>
        <w:rPr>
          <w:color w:val="auto"/>
          <w:highlight w:val="none"/>
        </w:rPr>
        <w:t>大气污染物无组织排放量核算表</w:t>
      </w:r>
    </w:p>
    <w:tbl>
      <w:tblPr>
        <w:tblStyle w:val="23"/>
        <w:tblW w:w="8897" w:type="dxa"/>
        <w:tblInd w:w="2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53"/>
        <w:gridCol w:w="905"/>
        <w:gridCol w:w="594"/>
        <w:gridCol w:w="1852"/>
        <w:gridCol w:w="2279"/>
        <w:gridCol w:w="1218"/>
        <w:gridCol w:w="129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753" w:type="dxa"/>
            <w:vMerge w:val="restart"/>
            <w:tcBorders>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905" w:type="dxa"/>
            <w:vMerge w:val="restart"/>
            <w:tcBorders>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产污环节</w:t>
            </w:r>
          </w:p>
        </w:tc>
        <w:tc>
          <w:tcPr>
            <w:tcW w:w="594" w:type="dxa"/>
            <w:vMerge w:val="restart"/>
            <w:tcBorders>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污染物</w:t>
            </w:r>
          </w:p>
        </w:tc>
        <w:tc>
          <w:tcPr>
            <w:tcW w:w="1852" w:type="dxa"/>
            <w:vMerge w:val="restart"/>
            <w:tcBorders>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主要污染防治措施</w:t>
            </w:r>
          </w:p>
        </w:tc>
        <w:tc>
          <w:tcPr>
            <w:tcW w:w="3497" w:type="dxa"/>
            <w:gridSpan w:val="2"/>
            <w:tcBorders>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国家或地方污染物排放标准</w:t>
            </w:r>
          </w:p>
        </w:tc>
        <w:tc>
          <w:tcPr>
            <w:tcW w:w="1296" w:type="dxa"/>
            <w:vMerge w:val="restart"/>
            <w:tcBorders>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年排放量/</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50" w:hRule="atLeast"/>
        </w:trPr>
        <w:tc>
          <w:tcPr>
            <w:tcW w:w="753" w:type="dxa"/>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905" w:type="dxa"/>
            <w:vMerge w:val="continue"/>
            <w:tcBorders>
              <w:top w:val="nil"/>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594" w:type="dxa"/>
            <w:vMerge w:val="continue"/>
            <w:tcBorders>
              <w:top w:val="nil"/>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852" w:type="dxa"/>
            <w:vMerge w:val="continue"/>
            <w:tcBorders>
              <w:top w:val="nil"/>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279"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标准名称</w:t>
            </w:r>
          </w:p>
        </w:tc>
        <w:tc>
          <w:tcPr>
            <w:tcW w:w="121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浓度限值/</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（mg/m3）</w:t>
            </w:r>
          </w:p>
        </w:tc>
        <w:tc>
          <w:tcPr>
            <w:tcW w:w="1296" w:type="dxa"/>
            <w:vMerge w:val="continue"/>
            <w:tcBorders>
              <w:top w:val="nil"/>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97" w:hRule="atLeast"/>
        </w:trPr>
        <w:tc>
          <w:tcPr>
            <w:tcW w:w="753" w:type="dxa"/>
            <w:vMerge w:val="restart"/>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905" w:type="dxa"/>
            <w:vMerge w:val="restart"/>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污水处理站</w:t>
            </w:r>
          </w:p>
        </w:tc>
        <w:tc>
          <w:tcPr>
            <w:tcW w:w="594"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NH3</w:t>
            </w:r>
          </w:p>
        </w:tc>
        <w:tc>
          <w:tcPr>
            <w:tcW w:w="1852" w:type="dxa"/>
            <w:vMerge w:val="restart"/>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加强管理、加强绿化</w:t>
            </w:r>
          </w:p>
        </w:tc>
        <w:tc>
          <w:tcPr>
            <w:tcW w:w="2279" w:type="dxa"/>
            <w:vMerge w:val="restart"/>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《恶臭污染物排放标</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准》（GB14554-93）中二级无组织标准限值</w:t>
            </w:r>
          </w:p>
        </w:tc>
        <w:tc>
          <w:tcPr>
            <w:tcW w:w="121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1.5</w:t>
            </w:r>
          </w:p>
        </w:tc>
        <w:tc>
          <w:tcPr>
            <w:tcW w:w="1296"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0.072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2" w:hRule="atLeast"/>
        </w:trPr>
        <w:tc>
          <w:tcPr>
            <w:tcW w:w="753" w:type="dxa"/>
            <w:vMerge w:val="continue"/>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905" w:type="dxa"/>
            <w:vMerge w:val="continue"/>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594"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H2S</w:t>
            </w:r>
          </w:p>
        </w:tc>
        <w:tc>
          <w:tcPr>
            <w:tcW w:w="1852" w:type="dxa"/>
            <w:vMerge w:val="continue"/>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279" w:type="dxa"/>
            <w:vMerge w:val="continue"/>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121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0.06</w:t>
            </w:r>
          </w:p>
        </w:tc>
        <w:tc>
          <w:tcPr>
            <w:tcW w:w="1296"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0.0028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73" w:hRule="atLeast"/>
        </w:trPr>
        <w:tc>
          <w:tcPr>
            <w:tcW w:w="8897" w:type="dxa"/>
            <w:gridSpan w:val="7"/>
            <w:tcBorders>
              <w:top w:val="single" w:color="000000" w:sz="4" w:space="0"/>
              <w:left w:val="nil"/>
              <w:bottom w:val="single" w:color="000000" w:sz="4" w:space="0"/>
              <w:right w:val="nil"/>
            </w:tcBorders>
          </w:tcPr>
          <w:p>
            <w:pPr>
              <w:spacing w:before="48"/>
              <w:ind w:left="0" w:right="3774" w:firstLine="0"/>
              <w:jc w:val="right"/>
              <w:rPr>
                <w:rFonts w:ascii="Times New Roman" w:hAnsi="Times New Roman" w:eastAsia="宋体" w:cs="Times New Roman"/>
                <w:caps w:val="0"/>
                <w:smallCaps w:val="0"/>
                <w:color w:val="auto"/>
                <w:spacing w:val="0"/>
                <w:w w:val="100"/>
                <w:position w:val="0"/>
                <w:sz w:val="21"/>
                <w:szCs w:val="21"/>
                <w:highlight w:val="none"/>
              </w:rPr>
            </w:pPr>
            <w:r>
              <w:rPr>
                <w:spacing w:val="-4"/>
                <w:sz w:val="21"/>
              </w:rPr>
              <w:t>无组织排放总计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4" w:hRule="atLeast"/>
        </w:trPr>
        <w:tc>
          <w:tcPr>
            <w:tcW w:w="1658" w:type="dxa"/>
            <w:gridSpan w:val="2"/>
            <w:vMerge w:val="restart"/>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无组织排</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放合计</w:t>
            </w:r>
          </w:p>
        </w:tc>
        <w:tc>
          <w:tcPr>
            <w:tcW w:w="5943" w:type="dxa"/>
            <w:gridSpan w:val="4"/>
            <w:tcBorders>
              <w:top w:val="single" w:color="000000" w:sz="4" w:space="0"/>
              <w:left w:val="single" w:color="000000" w:sz="4" w:space="0"/>
              <w:bottom w:val="single" w:color="000000" w:sz="4" w:space="0"/>
              <w:right w:val="single" w:color="000000" w:sz="4" w:space="0"/>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NH3</w:t>
            </w:r>
          </w:p>
        </w:tc>
        <w:tc>
          <w:tcPr>
            <w:tcW w:w="1296" w:type="dxa"/>
            <w:tcBorders>
              <w:top w:val="single" w:color="000000" w:sz="4" w:space="0"/>
              <w:left w:val="single" w:color="000000" w:sz="4" w:space="0"/>
              <w:bottom w:val="single" w:color="000000" w:sz="4"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0.072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1658" w:type="dxa"/>
            <w:gridSpan w:val="2"/>
            <w:vMerge w:val="continue"/>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5943" w:type="dxa"/>
            <w:gridSpan w:val="4"/>
            <w:tcBorders>
              <w:top w:val="single" w:color="000000" w:sz="4" w:space="0"/>
              <w:left w:val="single" w:color="000000" w:sz="4" w:space="0"/>
              <w:bottom w:val="single" w:color="000000" w:sz="4" w:space="0"/>
              <w:right w:val="single" w:color="000000" w:sz="4" w:space="0"/>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H2S</w:t>
            </w:r>
          </w:p>
        </w:tc>
        <w:tc>
          <w:tcPr>
            <w:tcW w:w="1296" w:type="dxa"/>
            <w:tcBorders>
              <w:top w:val="single" w:color="000000" w:sz="4" w:space="0"/>
              <w:left w:val="single" w:color="000000" w:sz="4" w:space="0"/>
              <w:bottom w:val="single" w:color="000000" w:sz="4" w:space="0"/>
              <w:right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0.0028</w:t>
            </w:r>
          </w:p>
        </w:tc>
      </w:tr>
    </w:tbl>
    <w:p>
      <w:pPr>
        <w:bidi w:val="0"/>
        <w:rPr>
          <w:color w:val="auto"/>
          <w:highlight w:val="none"/>
        </w:rPr>
      </w:pPr>
      <w:r>
        <w:rPr>
          <w:color w:val="auto"/>
          <w:highlight w:val="none"/>
        </w:rPr>
        <w:t>本项目大气污染物排放量包括有组织排放源和各无组织排放源在正常排放条件下的预测排放量之和，具体见表 5.2-5。</w:t>
      </w:r>
    </w:p>
    <w:p>
      <w:pPr>
        <w:bidi w:val="0"/>
        <w:rPr>
          <w:color w:val="auto"/>
          <w:highlight w:val="none"/>
        </w:rPr>
      </w:pPr>
      <w:r>
        <w:rPr>
          <w:color w:val="auto"/>
          <w:highlight w:val="none"/>
        </w:rPr>
        <w:t>表 5.2-5</w:t>
      </w:r>
      <w:r>
        <w:rPr>
          <w:color w:val="auto"/>
          <w:highlight w:val="none"/>
        </w:rPr>
        <w:tab/>
      </w:r>
      <w:r>
        <w:rPr>
          <w:rFonts w:hint="eastAsia"/>
          <w:color w:val="auto"/>
          <w:highlight w:val="none"/>
          <w:lang w:val="en-US" w:eastAsia="zh-CN"/>
        </w:rPr>
        <w:t xml:space="preserve">           </w:t>
      </w:r>
      <w:r>
        <w:rPr>
          <w:color w:val="auto"/>
          <w:highlight w:val="none"/>
        </w:rPr>
        <w:t>大气污染物年排放量核算表</w:t>
      </w:r>
    </w:p>
    <w:tbl>
      <w:tblPr>
        <w:tblStyle w:val="23"/>
        <w:tblW w:w="0" w:type="auto"/>
        <w:tblInd w:w="233"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63"/>
        <w:gridCol w:w="3758"/>
        <w:gridCol w:w="393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20" w:hRule="atLeast"/>
        </w:trPr>
        <w:tc>
          <w:tcPr>
            <w:tcW w:w="1063" w:type="dxa"/>
            <w:tcBorders>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3758" w:type="dxa"/>
            <w:tcBorders>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污染物</w:t>
            </w:r>
          </w:p>
        </w:tc>
        <w:tc>
          <w:tcPr>
            <w:tcW w:w="3937" w:type="dxa"/>
            <w:tcBorders>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年排放量/（t/a）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9" w:hRule="atLeast"/>
        </w:trPr>
        <w:tc>
          <w:tcPr>
            <w:tcW w:w="106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375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w:t>
            </w:r>
            <w:r>
              <w:rPr>
                <w:rFonts w:ascii="Times New Roman" w:hAnsi="Times New Roman" w:eastAsia="宋体" w:cs="Times New Roman"/>
                <w:caps w:val="0"/>
                <w:smallCaps w:val="0"/>
                <w:color w:val="auto"/>
                <w:spacing w:val="0"/>
                <w:w w:val="100"/>
                <w:position w:val="0"/>
                <w:sz w:val="21"/>
                <w:szCs w:val="21"/>
                <w:highlight w:val="none"/>
                <w:vertAlign w:val="subscript"/>
              </w:rPr>
              <w:t>3</w:t>
            </w:r>
          </w:p>
        </w:tc>
        <w:tc>
          <w:tcPr>
            <w:tcW w:w="3937"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0.</w:t>
            </w:r>
            <w:r>
              <w:rPr>
                <w:rFonts w:hint="eastAsia" w:ascii="Times New Roman" w:cs="Times New Roman"/>
                <w:caps w:val="0"/>
                <w:smallCaps w:val="0"/>
                <w:color w:val="auto"/>
                <w:spacing w:val="0"/>
                <w:w w:val="100"/>
                <w:position w:val="0"/>
                <w:sz w:val="21"/>
                <w:szCs w:val="21"/>
                <w:highlight w:val="none"/>
                <w:lang w:val="en-US" w:eastAsia="zh-CN"/>
              </w:rPr>
              <w:t>1368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9" w:hRule="atLeast"/>
        </w:trPr>
        <w:tc>
          <w:tcPr>
            <w:tcW w:w="106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2</w:t>
            </w:r>
          </w:p>
        </w:tc>
        <w:tc>
          <w:tcPr>
            <w:tcW w:w="375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w:t>
            </w:r>
          </w:p>
        </w:tc>
        <w:tc>
          <w:tcPr>
            <w:tcW w:w="3937"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0.00</w:t>
            </w:r>
            <w:r>
              <w:rPr>
                <w:rFonts w:hint="eastAsia" w:ascii="Times New Roman" w:cs="Times New Roman"/>
                <w:caps w:val="0"/>
                <w:smallCaps w:val="0"/>
                <w:color w:val="auto"/>
                <w:spacing w:val="0"/>
                <w:w w:val="100"/>
                <w:position w:val="0"/>
                <w:sz w:val="21"/>
                <w:szCs w:val="21"/>
                <w:highlight w:val="none"/>
                <w:lang w:val="en-US" w:eastAsia="zh-CN"/>
              </w:rPr>
              <w:t>532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9" w:hRule="atLeast"/>
        </w:trPr>
        <w:tc>
          <w:tcPr>
            <w:tcW w:w="106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3</w:t>
            </w:r>
          </w:p>
        </w:tc>
        <w:tc>
          <w:tcPr>
            <w:tcW w:w="375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3937"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1.41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9" w:hRule="atLeast"/>
        </w:trPr>
        <w:tc>
          <w:tcPr>
            <w:tcW w:w="1063" w:type="dxa"/>
            <w:tcBorders>
              <w:top w:val="single" w:color="000000" w:sz="4" w:space="0"/>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4</w:t>
            </w:r>
          </w:p>
        </w:tc>
        <w:tc>
          <w:tcPr>
            <w:tcW w:w="3758" w:type="dxa"/>
            <w:tcBorders>
              <w:top w:val="single" w:color="000000" w:sz="4" w:space="0"/>
              <w:left w:val="single" w:color="000000" w:sz="4" w:space="0"/>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NOx</w:t>
            </w:r>
          </w:p>
        </w:tc>
        <w:tc>
          <w:tcPr>
            <w:tcW w:w="3937" w:type="dxa"/>
            <w:tcBorders>
              <w:top w:val="single" w:color="000000" w:sz="4" w:space="0"/>
              <w:left w:val="single" w:color="000000" w:sz="4" w:space="0"/>
              <w:bottom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4.25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1" w:hRule="atLeast"/>
        </w:trPr>
        <w:tc>
          <w:tcPr>
            <w:tcW w:w="1063" w:type="dxa"/>
            <w:tcBorders>
              <w:top w:val="single" w:color="000000" w:sz="4" w:space="0"/>
              <w:left w:val="nil"/>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5</w:t>
            </w:r>
          </w:p>
        </w:tc>
        <w:tc>
          <w:tcPr>
            <w:tcW w:w="3758" w:type="dxa"/>
            <w:tcBorders>
              <w:top w:val="single" w:color="000000" w:sz="4" w:space="0"/>
              <w:left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颗粒物</w:t>
            </w:r>
          </w:p>
        </w:tc>
        <w:tc>
          <w:tcPr>
            <w:tcW w:w="3937" w:type="dxa"/>
            <w:tcBorders>
              <w:top w:val="single" w:color="000000" w:sz="4" w:space="0"/>
              <w:left w:val="single" w:color="000000" w:sz="4" w:space="0"/>
              <w:right w:val="nil"/>
            </w:tcBorders>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0.00625</w:t>
            </w:r>
          </w:p>
        </w:tc>
      </w:tr>
    </w:tbl>
    <w:p>
      <w:pPr>
        <w:pStyle w:val="2"/>
        <w:rPr>
          <w:rFonts w:hint="eastAsia"/>
          <w:lang w:val="en-US" w:eastAsia="zh-CN"/>
        </w:rPr>
      </w:pPr>
    </w:p>
    <w:p>
      <w:pPr>
        <w:keepNext/>
        <w:keepLines/>
        <w:numPr>
          <w:ilvl w:val="0"/>
          <w:numId w:val="0"/>
        </w:numPr>
        <w:autoSpaceDE/>
        <w:autoSpaceDN/>
        <w:bidi w:val="0"/>
        <w:spacing w:before="0" w:after="0" w:line="500" w:lineRule="exact"/>
        <w:ind w:right="0" w:firstLine="0" w:firstLineChars="0"/>
        <w:jc w:val="both"/>
        <w:outlineLvl w:val="9"/>
        <w:rPr>
          <w:rFonts w:hint="default"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5.2.2.</w:t>
      </w:r>
      <w:r>
        <w:rPr>
          <w:rFonts w:hint="eastAsia" w:ascii="Times New Roman" w:cs="Times New Roman"/>
          <w:b/>
          <w:bCs/>
          <w:color w:val="auto"/>
          <w:szCs w:val="20"/>
          <w:highlight w:val="none"/>
          <w:lang w:val="en-US" w:eastAsia="zh-CN" w:bidi="ar-SA"/>
        </w:rPr>
        <w:t>2</w:t>
      </w:r>
      <w:r>
        <w:rPr>
          <w:rFonts w:hint="eastAsia" w:ascii="Times New Roman" w:hAnsi="Times New Roman" w:eastAsia="宋体" w:cs="Times New Roman"/>
          <w:b/>
          <w:bCs/>
          <w:color w:val="auto"/>
          <w:szCs w:val="20"/>
          <w:highlight w:val="none"/>
          <w:lang w:val="en-US" w:eastAsia="zh-CN" w:bidi="ar-SA"/>
        </w:rPr>
        <w:t>锅炉烟气</w:t>
      </w:r>
      <w:bookmarkEnd w:id="1031"/>
      <w:bookmarkEnd w:id="1032"/>
      <w:bookmarkEnd w:id="1033"/>
      <w:bookmarkEnd w:id="1034"/>
      <w:bookmarkEnd w:id="1035"/>
      <w:bookmarkEnd w:id="1036"/>
      <w:bookmarkEnd w:id="1037"/>
      <w:r>
        <w:rPr>
          <w:rFonts w:hint="eastAsia" w:ascii="Times New Roman" w:cs="Times New Roman"/>
          <w:b/>
          <w:bCs/>
          <w:color w:val="auto"/>
          <w:szCs w:val="20"/>
          <w:highlight w:val="none"/>
          <w:lang w:val="en-US" w:eastAsia="zh-CN" w:bidi="ar-SA"/>
        </w:rPr>
        <w:t>影响分析</w:t>
      </w:r>
    </w:p>
    <w:p>
      <w:pPr>
        <w:bidi w:val="0"/>
        <w:rPr>
          <w:color w:val="auto"/>
          <w:sz w:val="24"/>
          <w:highlight w:val="none"/>
        </w:rPr>
      </w:pPr>
      <w:r>
        <w:rPr>
          <w:rFonts w:hint="eastAsia"/>
          <w:color w:val="auto"/>
          <w:sz w:val="24"/>
          <w:highlight w:val="none"/>
        </w:rPr>
        <w:t>本项目设置一台</w:t>
      </w:r>
      <w:r>
        <w:rPr>
          <w:rFonts w:hint="eastAsia"/>
          <w:color w:val="auto"/>
          <w:sz w:val="24"/>
          <w:highlight w:val="none"/>
          <w:lang w:eastAsia="zh-CN"/>
        </w:rPr>
        <w:t>6t/h</w:t>
      </w:r>
      <w:r>
        <w:rPr>
          <w:rFonts w:hint="eastAsia"/>
          <w:color w:val="auto"/>
          <w:sz w:val="24"/>
          <w:highlight w:val="none"/>
        </w:rPr>
        <w:t>生物质蒸汽锅炉，生产及冬季生活供热均由生物质锅炉提供，年耗生物质颗粒</w:t>
      </w:r>
      <w:r>
        <w:rPr>
          <w:rFonts w:hint="eastAsia"/>
          <w:color w:val="auto"/>
          <w:sz w:val="24"/>
          <w:highlight w:val="none"/>
          <w:lang w:val="en-US" w:eastAsia="zh-CN"/>
        </w:rPr>
        <w:t>4165</w:t>
      </w:r>
      <w:r>
        <w:rPr>
          <w:rFonts w:hint="eastAsia"/>
          <w:color w:val="auto"/>
          <w:sz w:val="24"/>
          <w:highlight w:val="none"/>
        </w:rPr>
        <w:t>吨，本项目烟气采用袋式除尘+35米高排气筒排放，根据《排放源统计调查产排污核算方法和系数手册》中</w:t>
      </w:r>
      <w:r>
        <w:rPr>
          <w:rFonts w:hint="eastAsia"/>
          <w:color w:val="auto"/>
          <w:sz w:val="24"/>
          <w:highlight w:val="none"/>
          <w:lang w:eastAsia="zh-CN"/>
        </w:rPr>
        <w:t>“</w:t>
      </w:r>
      <w:r>
        <w:rPr>
          <w:rFonts w:hint="eastAsia"/>
          <w:color w:val="auto"/>
          <w:sz w:val="24"/>
          <w:highlight w:val="none"/>
        </w:rPr>
        <w:t>4430 工业锅炉</w:t>
      </w:r>
      <w:r>
        <w:rPr>
          <w:rFonts w:hint="eastAsia"/>
          <w:color w:val="auto"/>
          <w:sz w:val="24"/>
          <w:highlight w:val="none"/>
          <w:lang w:eastAsia="zh-CN"/>
        </w:rPr>
        <w:t>（</w:t>
      </w:r>
      <w:r>
        <w:rPr>
          <w:rFonts w:hint="eastAsia"/>
          <w:color w:val="auto"/>
          <w:sz w:val="24"/>
          <w:highlight w:val="none"/>
        </w:rPr>
        <w:t>热力供应）行业系数手册</w:t>
      </w:r>
      <w:r>
        <w:rPr>
          <w:rFonts w:hint="eastAsia"/>
          <w:color w:val="auto"/>
          <w:sz w:val="24"/>
          <w:highlight w:val="none"/>
          <w:lang w:eastAsia="zh-CN"/>
        </w:rPr>
        <w:t>”</w:t>
      </w:r>
      <w:r>
        <w:rPr>
          <w:rFonts w:hint="eastAsia"/>
          <w:color w:val="auto"/>
          <w:sz w:val="24"/>
          <w:highlight w:val="none"/>
        </w:rPr>
        <w:t>生物质锅炉采取袋式除尘，废气治理效率为99.7%。</w:t>
      </w:r>
      <w:r>
        <w:rPr>
          <w:color w:val="auto"/>
          <w:sz w:val="24"/>
          <w:highlight w:val="none"/>
        </w:rPr>
        <w:t>锅炉烟气经</w:t>
      </w:r>
      <w:r>
        <w:rPr>
          <w:rFonts w:hint="eastAsia"/>
          <w:color w:val="auto"/>
          <w:sz w:val="24"/>
          <w:highlight w:val="none"/>
          <w:lang w:val="en-US" w:eastAsia="zh-CN"/>
        </w:rPr>
        <w:t>35</w:t>
      </w:r>
      <w:r>
        <w:rPr>
          <w:color w:val="auto"/>
          <w:sz w:val="24"/>
          <w:highlight w:val="none"/>
        </w:rPr>
        <w:t>m高排气筒排放，排放浓度满足</w:t>
      </w:r>
      <w:r>
        <w:rPr>
          <w:rFonts w:hint="eastAsia"/>
          <w:color w:val="auto"/>
          <w:sz w:val="24"/>
          <w:highlight w:val="none"/>
        </w:rPr>
        <w:t>《锅炉大气污染物排放标准》（GB13271-2014）中的表2新建锅炉大气标准要求</w:t>
      </w:r>
      <w:r>
        <w:rPr>
          <w:color w:val="auto"/>
          <w:sz w:val="24"/>
          <w:highlight w:val="none"/>
        </w:rPr>
        <w:t>；</w:t>
      </w:r>
      <w:r>
        <w:rPr>
          <w:rFonts w:hint="eastAsia"/>
          <w:color w:val="auto"/>
          <w:sz w:val="24"/>
          <w:highlight w:val="none"/>
        </w:rPr>
        <w:t>烟囱高度35m，烟囱高度执行燃煤锅炉房烟囱最低允许高度35m，并高于周围半径200m距离内最高建筑物3m以上</w:t>
      </w:r>
      <w:r>
        <w:rPr>
          <w:rFonts w:hint="eastAsia"/>
          <w:color w:val="auto"/>
          <w:sz w:val="24"/>
          <w:highlight w:val="none"/>
          <w:lang w:eastAsia="zh-CN"/>
        </w:rPr>
        <w:t>。</w:t>
      </w:r>
    </w:p>
    <w:p>
      <w:pPr>
        <w:bidi w:val="0"/>
        <w:rPr>
          <w:rFonts w:ascii="Times New Roman" w:hAnsi="Times New Roman" w:cs="Times New Roman"/>
          <w:color w:val="auto"/>
          <w:w w:val="100"/>
          <w:sz w:val="24"/>
          <w:highlight w:val="none"/>
        </w:rPr>
      </w:pPr>
      <w:r>
        <w:rPr>
          <w:rFonts w:ascii="Times New Roman" w:hAnsi="Times New Roman" w:cs="Times New Roman"/>
          <w:color w:val="auto"/>
          <w:w w:val="100"/>
          <w:sz w:val="24"/>
          <w:highlight w:val="none"/>
        </w:rPr>
        <w:t>根据估算模式计算可知，NO</w:t>
      </w:r>
      <w:r>
        <w:rPr>
          <w:rFonts w:ascii="Times New Roman" w:hAnsi="Times New Roman" w:cs="Times New Roman"/>
          <w:color w:val="auto"/>
          <w:w w:val="100"/>
          <w:sz w:val="24"/>
          <w:highlight w:val="none"/>
          <w:vertAlign w:val="subscript"/>
        </w:rPr>
        <w:t>x</w:t>
      </w:r>
      <w:r>
        <w:rPr>
          <w:rFonts w:ascii="Times New Roman" w:hAnsi="Times New Roman" w:cs="Times New Roman"/>
          <w:color w:val="auto"/>
          <w:w w:val="100"/>
          <w:sz w:val="24"/>
          <w:highlight w:val="none"/>
        </w:rPr>
        <w:t>、TSP和SO</w:t>
      </w:r>
      <w:r>
        <w:rPr>
          <w:rFonts w:ascii="Times New Roman" w:hAnsi="Times New Roman" w:cs="Times New Roman"/>
          <w:color w:val="auto"/>
          <w:w w:val="100"/>
          <w:sz w:val="24"/>
          <w:highlight w:val="none"/>
          <w:vertAlign w:val="subscript"/>
        </w:rPr>
        <w:t>2</w:t>
      </w:r>
      <w:r>
        <w:rPr>
          <w:rFonts w:ascii="Times New Roman" w:hAnsi="Times New Roman" w:cs="Times New Roman"/>
          <w:color w:val="auto"/>
          <w:w w:val="100"/>
          <w:sz w:val="24"/>
          <w:highlight w:val="none"/>
        </w:rPr>
        <w:t>最大落地浓度均远低于各自的环境质量标准，对周围环境空气的影响不大。</w:t>
      </w:r>
    </w:p>
    <w:p>
      <w:pPr>
        <w:bidi w:val="0"/>
        <w:rPr>
          <w:color w:val="auto"/>
          <w:highlight w:val="none"/>
        </w:rPr>
      </w:pPr>
      <w:r>
        <w:rPr>
          <w:color w:val="auto"/>
          <w:highlight w:val="none"/>
        </w:rPr>
        <w:t>本项目大气评价范围内的敏感目有</w:t>
      </w:r>
      <w:r>
        <w:rPr>
          <w:rFonts w:hint="eastAsia"/>
          <w:color w:val="auto"/>
          <w:highlight w:val="none"/>
          <w:lang w:eastAsia="zh-CN"/>
        </w:rPr>
        <w:t>老山头乡、四大家屯、桥家围子、后桥家围子、永久村</w:t>
      </w:r>
      <w:r>
        <w:rPr>
          <w:color w:val="auto"/>
          <w:highlight w:val="none"/>
        </w:rPr>
        <w:t>。最近居民点为</w:t>
      </w:r>
      <w:r>
        <w:rPr>
          <w:rFonts w:hint="eastAsia"/>
          <w:color w:val="auto"/>
          <w:highlight w:val="none"/>
          <w:lang w:eastAsia="zh-CN"/>
        </w:rPr>
        <w:t>老山头乡</w:t>
      </w:r>
      <w:r>
        <w:rPr>
          <w:color w:val="auto"/>
          <w:highlight w:val="none"/>
        </w:rPr>
        <w:t>，位于厂区</w:t>
      </w:r>
      <w:r>
        <w:rPr>
          <w:rFonts w:hint="eastAsia"/>
          <w:color w:val="auto"/>
          <w:highlight w:val="none"/>
          <w:lang w:eastAsia="zh-CN"/>
        </w:rPr>
        <w:t>东南侧</w:t>
      </w:r>
      <w:r>
        <w:rPr>
          <w:rFonts w:hint="eastAsia"/>
          <w:color w:val="auto"/>
          <w:highlight w:val="none"/>
          <w:lang w:val="en-US" w:eastAsia="zh-CN"/>
        </w:rPr>
        <w:t>21</w:t>
      </w:r>
      <w:r>
        <w:rPr>
          <w:color w:val="auto"/>
          <w:highlight w:val="none"/>
        </w:rPr>
        <w:t>0m，由估算模式预测计算结果表可知，厂区下风向2</w:t>
      </w:r>
      <w:r>
        <w:rPr>
          <w:rFonts w:hint="eastAsia"/>
          <w:color w:val="auto"/>
          <w:highlight w:val="none"/>
          <w:lang w:val="en-US" w:eastAsia="zh-CN"/>
        </w:rPr>
        <w:t>08</w:t>
      </w:r>
      <w:r>
        <w:rPr>
          <w:color w:val="auto"/>
          <w:highlight w:val="none"/>
        </w:rPr>
        <w:t>m处的NO</w:t>
      </w:r>
      <w:r>
        <w:rPr>
          <w:color w:val="auto"/>
          <w:highlight w:val="none"/>
          <w:vertAlign w:val="subscript"/>
        </w:rPr>
        <w:t>x</w:t>
      </w:r>
      <w:r>
        <w:rPr>
          <w:color w:val="auto"/>
          <w:highlight w:val="none"/>
        </w:rPr>
        <w:t>落地浓度为</w:t>
      </w:r>
      <w:r>
        <w:rPr>
          <w:rFonts w:hint="eastAsia"/>
          <w:color w:val="auto"/>
          <w:highlight w:val="none"/>
          <w:lang w:val="en-US" w:eastAsia="zh-CN"/>
        </w:rPr>
        <w:t>0.016871</w:t>
      </w:r>
      <w:r>
        <w:rPr>
          <w:color w:val="auto"/>
          <w:highlight w:val="none"/>
        </w:rPr>
        <w:t>mg/m</w:t>
      </w:r>
      <w:r>
        <w:rPr>
          <w:color w:val="auto"/>
          <w:highlight w:val="none"/>
          <w:vertAlign w:val="superscript"/>
        </w:rPr>
        <w:t>3</w:t>
      </w:r>
      <w:r>
        <w:rPr>
          <w:color w:val="auto"/>
          <w:highlight w:val="none"/>
        </w:rPr>
        <w:t>，占标率为</w:t>
      </w:r>
      <w:r>
        <w:rPr>
          <w:rFonts w:hint="eastAsia"/>
          <w:color w:val="auto"/>
          <w:highlight w:val="none"/>
          <w:lang w:val="en-US" w:eastAsia="zh-CN"/>
        </w:rPr>
        <w:t>8.44</w:t>
      </w:r>
      <w:r>
        <w:rPr>
          <w:color w:val="auto"/>
          <w:highlight w:val="none"/>
        </w:rPr>
        <w:t>%；SO</w:t>
      </w:r>
      <w:r>
        <w:rPr>
          <w:color w:val="auto"/>
          <w:highlight w:val="none"/>
          <w:vertAlign w:val="subscript"/>
        </w:rPr>
        <w:t>2</w:t>
      </w:r>
      <w:r>
        <w:rPr>
          <w:color w:val="auto"/>
          <w:highlight w:val="none"/>
        </w:rPr>
        <w:t>落地浓度为</w:t>
      </w:r>
      <w:r>
        <w:rPr>
          <w:rFonts w:hint="eastAsia"/>
          <w:color w:val="auto"/>
          <w:highlight w:val="none"/>
          <w:lang w:val="en-US" w:eastAsia="zh-CN"/>
        </w:rPr>
        <w:t>0.005624</w:t>
      </w:r>
      <w:r>
        <w:rPr>
          <w:color w:val="auto"/>
          <w:highlight w:val="none"/>
        </w:rPr>
        <w:t>mg/m</w:t>
      </w:r>
      <w:r>
        <w:rPr>
          <w:color w:val="auto"/>
          <w:highlight w:val="none"/>
          <w:vertAlign w:val="superscript"/>
        </w:rPr>
        <w:t>3</w:t>
      </w:r>
      <w:r>
        <w:rPr>
          <w:color w:val="auto"/>
          <w:highlight w:val="none"/>
        </w:rPr>
        <w:t>，占标率为</w:t>
      </w:r>
      <w:r>
        <w:rPr>
          <w:rFonts w:hint="eastAsia"/>
          <w:color w:val="auto"/>
          <w:highlight w:val="none"/>
          <w:lang w:val="en-US" w:eastAsia="zh-CN"/>
        </w:rPr>
        <w:t>0.12</w:t>
      </w:r>
      <w:r>
        <w:rPr>
          <w:color w:val="auto"/>
          <w:highlight w:val="none"/>
        </w:rPr>
        <w:t>%；TSP落地浓度为</w:t>
      </w:r>
      <w:r>
        <w:rPr>
          <w:rFonts w:hint="eastAsia"/>
          <w:color w:val="auto"/>
          <w:highlight w:val="none"/>
          <w:lang w:val="en-US" w:eastAsia="zh-CN"/>
        </w:rPr>
        <w:t>0.000025</w:t>
      </w:r>
      <w:r>
        <w:rPr>
          <w:color w:val="auto"/>
          <w:highlight w:val="none"/>
        </w:rPr>
        <w:t>mg/m</w:t>
      </w:r>
      <w:r>
        <w:rPr>
          <w:color w:val="auto"/>
          <w:highlight w:val="none"/>
          <w:vertAlign w:val="superscript"/>
        </w:rPr>
        <w:t>3</w:t>
      </w:r>
      <w:r>
        <w:rPr>
          <w:color w:val="auto"/>
          <w:highlight w:val="none"/>
        </w:rPr>
        <w:t>，占标率为0.</w:t>
      </w:r>
      <w:r>
        <w:rPr>
          <w:rFonts w:hint="eastAsia"/>
          <w:color w:val="auto"/>
          <w:highlight w:val="none"/>
          <w:lang w:val="en-US" w:eastAsia="zh-CN"/>
        </w:rPr>
        <w:t>01</w:t>
      </w:r>
      <w:r>
        <w:rPr>
          <w:color w:val="auto"/>
          <w:highlight w:val="none"/>
        </w:rPr>
        <w:t>%。综上所述本项目大气污染物排放对评价范围内的敏感点的贡献值远低于环境空气质量标准限值，因此，项目周边环境敏感目标受本项目废气的影响较小。</w:t>
      </w:r>
    </w:p>
    <w:p>
      <w:pPr>
        <w:keepNext/>
        <w:keepLines/>
        <w:numPr>
          <w:ilvl w:val="0"/>
          <w:numId w:val="0"/>
        </w:numPr>
        <w:autoSpaceDE/>
        <w:autoSpaceDN/>
        <w:bidi w:val="0"/>
        <w:spacing w:before="0" w:after="0" w:line="500" w:lineRule="exact"/>
        <w:ind w:right="0" w:firstLine="0" w:firstLineChars="0"/>
        <w:jc w:val="both"/>
        <w:outlineLvl w:val="9"/>
        <w:rPr>
          <w:rFonts w:hint="eastAsia" w:ascii="Times New Roman" w:hAnsi="Times New Roman" w:eastAsia="宋体" w:cs="Times New Roman"/>
          <w:b/>
          <w:bCs/>
          <w:color w:val="auto"/>
          <w:szCs w:val="20"/>
          <w:highlight w:val="none"/>
          <w:lang w:val="en-US" w:eastAsia="zh-CN" w:bidi="ar-SA"/>
        </w:rPr>
      </w:pPr>
      <w:r>
        <w:rPr>
          <w:rFonts w:hint="eastAsia" w:ascii="Times New Roman" w:hAnsi="Times New Roman" w:eastAsia="宋体" w:cs="Times New Roman"/>
          <w:b/>
          <w:bCs/>
          <w:color w:val="auto"/>
          <w:szCs w:val="20"/>
          <w:highlight w:val="none"/>
          <w:lang w:val="en-US" w:eastAsia="zh-CN" w:bidi="ar-SA"/>
        </w:rPr>
        <w:t>5.2.2.</w:t>
      </w:r>
      <w:r>
        <w:rPr>
          <w:rFonts w:hint="eastAsia" w:ascii="Times New Roman" w:cs="Times New Roman"/>
          <w:b/>
          <w:bCs/>
          <w:color w:val="auto"/>
          <w:szCs w:val="20"/>
          <w:highlight w:val="none"/>
          <w:lang w:val="en-US" w:eastAsia="zh-CN" w:bidi="ar-SA"/>
        </w:rPr>
        <w:t>3</w:t>
      </w:r>
      <w:r>
        <w:rPr>
          <w:rFonts w:hint="eastAsia" w:ascii="Times New Roman" w:hAnsi="Times New Roman" w:eastAsia="宋体" w:cs="Times New Roman"/>
          <w:b/>
          <w:bCs/>
          <w:color w:val="auto"/>
          <w:szCs w:val="20"/>
          <w:highlight w:val="none"/>
          <w:lang w:val="en-US" w:eastAsia="zh-CN" w:bidi="ar-SA"/>
        </w:rPr>
        <w:t>污水处理站恶臭预测</w:t>
      </w:r>
    </w:p>
    <w:p>
      <w:pPr>
        <w:bidi w:val="0"/>
        <w:rPr>
          <w:rFonts w:ascii="Times New Roman" w:hAnsi="Times New Roman" w:cs="Times New Roman"/>
          <w:color w:val="auto"/>
          <w:w w:val="100"/>
          <w:sz w:val="24"/>
          <w:highlight w:val="none"/>
        </w:rPr>
      </w:pPr>
      <w:r>
        <w:rPr>
          <w:rFonts w:ascii="Times New Roman" w:hAnsi="Times New Roman" w:cs="Times New Roman"/>
          <w:color w:val="auto"/>
          <w:w w:val="100"/>
          <w:sz w:val="24"/>
          <w:highlight w:val="none"/>
        </w:rPr>
        <w:t>污水处理站恶臭主要污染物为 NH</w:t>
      </w:r>
      <w:r>
        <w:rPr>
          <w:rFonts w:ascii="Times New Roman" w:hAnsi="Times New Roman" w:cs="Times New Roman"/>
          <w:color w:val="auto"/>
          <w:w w:val="100"/>
          <w:sz w:val="24"/>
          <w:highlight w:val="none"/>
          <w:vertAlign w:val="subscript"/>
        </w:rPr>
        <w:t>3</w:t>
      </w:r>
      <w:r>
        <w:rPr>
          <w:rFonts w:ascii="Times New Roman" w:hAnsi="Times New Roman" w:cs="Times New Roman"/>
          <w:color w:val="auto"/>
          <w:w w:val="100"/>
          <w:sz w:val="24"/>
          <w:highlight w:val="none"/>
        </w:rPr>
        <w:t>、H</w:t>
      </w:r>
      <w:r>
        <w:rPr>
          <w:rFonts w:ascii="Times New Roman" w:hAnsi="Times New Roman" w:cs="Times New Roman"/>
          <w:color w:val="auto"/>
          <w:w w:val="100"/>
          <w:sz w:val="24"/>
          <w:highlight w:val="none"/>
          <w:vertAlign w:val="subscript"/>
        </w:rPr>
        <w:t>2</w:t>
      </w:r>
      <w:r>
        <w:rPr>
          <w:rFonts w:ascii="Times New Roman" w:hAnsi="Times New Roman" w:cs="Times New Roman"/>
          <w:color w:val="auto"/>
          <w:w w:val="100"/>
          <w:sz w:val="24"/>
          <w:highlight w:val="none"/>
        </w:rPr>
        <w:t>S 等气体，主要发生源是集水池等。恶臭溢出量受污水量、BOD</w:t>
      </w:r>
      <w:r>
        <w:rPr>
          <w:rFonts w:ascii="Times New Roman" w:hAnsi="Times New Roman" w:cs="Times New Roman"/>
          <w:color w:val="auto"/>
          <w:w w:val="100"/>
          <w:sz w:val="24"/>
          <w:highlight w:val="none"/>
          <w:vertAlign w:val="subscript"/>
        </w:rPr>
        <w:t>5</w:t>
      </w:r>
      <w:r>
        <w:rPr>
          <w:rFonts w:ascii="Times New Roman" w:hAnsi="Times New Roman" w:cs="Times New Roman"/>
          <w:color w:val="auto"/>
          <w:w w:val="100"/>
          <w:sz w:val="24"/>
          <w:highlight w:val="none"/>
        </w:rPr>
        <w:t>、COD、污泥量等多种因素影响。</w:t>
      </w:r>
    </w:p>
    <w:p>
      <w:pPr>
        <w:bidi w:val="0"/>
        <w:rPr>
          <w:rFonts w:ascii="Times New Roman" w:hAnsi="Times New Roman" w:cs="Times New Roman"/>
          <w:color w:val="auto"/>
          <w:w w:val="100"/>
          <w:sz w:val="24"/>
          <w:highlight w:val="none"/>
        </w:rPr>
      </w:pPr>
      <w:r>
        <w:rPr>
          <w:rFonts w:ascii="Times New Roman" w:hAnsi="Times New Roman" w:cs="Times New Roman"/>
          <w:color w:val="auto"/>
          <w:w w:val="100"/>
          <w:sz w:val="24"/>
          <w:highlight w:val="none"/>
        </w:rPr>
        <w:t>恶臭气体企业主要通过对产生恶臭气体的集水池采取加盖处理，通过管道将产生恶臭气体的池体、房间连同使用引风机负压收集+ 活性炭吸附后经 15m 高排气筒排放，</w:t>
      </w:r>
      <w:r>
        <w:rPr>
          <w:rFonts w:hint="eastAsia" w:ascii="Times New Roman" w:cs="Times New Roman"/>
          <w:color w:val="auto"/>
          <w:w w:val="100"/>
          <w:sz w:val="24"/>
          <w:highlight w:val="none"/>
          <w:lang w:val="en-US" w:eastAsia="zh-CN"/>
        </w:rPr>
        <w:t>通过预测</w:t>
      </w:r>
      <w:r>
        <w:rPr>
          <w:rFonts w:ascii="Times New Roman" w:hAnsi="Times New Roman" w:cs="Times New Roman"/>
          <w:color w:val="auto"/>
          <w:w w:val="100"/>
          <w:sz w:val="24"/>
          <w:highlight w:val="none"/>
        </w:rPr>
        <w:t>，氨气、硫化氢满足《恶臭污染物排放标准》（GB 14554-93）表 2 中 15m 排气筒排放限值要求。</w:t>
      </w:r>
    </w:p>
    <w:p>
      <w:pPr>
        <w:bidi w:val="0"/>
        <w:rPr>
          <w:rFonts w:ascii="Times New Roman" w:hAnsi="Times New Roman" w:cs="Times New Roman"/>
          <w:color w:val="auto"/>
          <w:w w:val="100"/>
          <w:sz w:val="24"/>
          <w:highlight w:val="none"/>
        </w:rPr>
      </w:pPr>
      <w:r>
        <w:rPr>
          <w:rFonts w:ascii="Times New Roman" w:hAnsi="Times New Roman" w:cs="Times New Roman"/>
          <w:color w:val="auto"/>
          <w:w w:val="100"/>
          <w:sz w:val="24"/>
          <w:highlight w:val="none"/>
        </w:rPr>
        <w:t>项目污泥压滤间为密闭结构，同时对脱水后污泥应及时清运，减少其在厂内的滞留时间，使恶臭对周围的环境影响减至最低。在厂界处种植一些对氨等恶臭气体有较好抗性和吸收能力的植物。在厂界绿化时，建议重点加强对厂区北侧、东西两侧绿化，以降低恶臭对环境的影响。</w:t>
      </w:r>
    </w:p>
    <w:p>
      <w:pPr>
        <w:bidi w:val="0"/>
        <w:rPr>
          <w:color w:val="auto"/>
          <w:highlight w:val="none"/>
        </w:rPr>
      </w:pPr>
      <w:r>
        <w:rPr>
          <w:rFonts w:hint="eastAsia"/>
          <w:color w:val="auto"/>
          <w:highlight w:val="none"/>
          <w:lang w:val="en-US" w:eastAsia="zh-CN"/>
        </w:rPr>
        <w:t>通过估算模式预测，</w:t>
      </w:r>
      <w:r>
        <w:rPr>
          <w:color w:val="auto"/>
          <w:highlight w:val="none"/>
        </w:rPr>
        <w:t>污水处理站大气污染物的最大落地浓度均未超过环境标准要求，最大地面浓度占标率均小于10%，所占环境份额较小，可被环境所接受。</w:t>
      </w:r>
    </w:p>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outlineLvl w:val="9"/>
        <w:rPr>
          <w:b/>
          <w:bCs/>
          <w:color w:val="auto"/>
          <w:highlight w:val="none"/>
        </w:rPr>
      </w:pPr>
      <w:r>
        <w:rPr>
          <w:b/>
          <w:bCs/>
          <w:color w:val="auto"/>
          <w:highlight w:val="none"/>
        </w:rPr>
        <w:t>5.2.2.5大气环境防护距离预测</w:t>
      </w:r>
    </w:p>
    <w:p>
      <w:pPr>
        <w:bidi w:val="0"/>
        <w:rPr>
          <w:rFonts w:hint="default"/>
          <w:color w:val="auto"/>
          <w:sz w:val="24"/>
          <w:highlight w:val="none"/>
        </w:rPr>
      </w:pPr>
      <w:r>
        <w:rPr>
          <w:rFonts w:hint="default"/>
          <w:color w:val="auto"/>
          <w:sz w:val="24"/>
          <w:highlight w:val="none"/>
        </w:rPr>
        <w:t>本次大气环境影响评价等级定为二级，根据《环境影响评价技术导则大气环境》</w:t>
      </w:r>
      <w:r>
        <w:rPr>
          <w:rFonts w:hint="eastAsia"/>
          <w:color w:val="auto"/>
          <w:sz w:val="24"/>
          <w:highlight w:val="none"/>
          <w:lang w:eastAsia="zh-CN"/>
        </w:rPr>
        <w:t>（</w:t>
      </w:r>
      <w:r>
        <w:rPr>
          <w:rFonts w:hint="default"/>
          <w:color w:val="auto"/>
          <w:sz w:val="24"/>
          <w:highlight w:val="none"/>
        </w:rPr>
        <w:t>HJ2.2-2018）的8.7.5条要求</w:t>
      </w:r>
      <w:r>
        <w:rPr>
          <w:rFonts w:hint="eastAsia"/>
          <w:color w:val="auto"/>
          <w:sz w:val="24"/>
          <w:highlight w:val="none"/>
          <w:lang w:eastAsia="zh-CN"/>
        </w:rPr>
        <w:t>“</w:t>
      </w:r>
      <w:r>
        <w:rPr>
          <w:rFonts w:hint="default"/>
          <w:color w:val="auto"/>
          <w:sz w:val="24"/>
          <w:highlight w:val="none"/>
        </w:rPr>
        <w:t>对于项目厂界浓度满足大气污染物厂界浓度限值，但厂界外大气污染物短期贡献浓度超过环境质量浓度限值的，可以自厂界向外设置一定范围的大气环境防护区域，以确保大气环境防护区域外的贡献浓度满足环境质量标准</w:t>
      </w:r>
      <w:r>
        <w:rPr>
          <w:rFonts w:hint="eastAsia"/>
          <w:color w:val="auto"/>
          <w:sz w:val="24"/>
          <w:highlight w:val="none"/>
          <w:lang w:eastAsia="zh-CN"/>
        </w:rPr>
        <w:t>”</w:t>
      </w:r>
      <w:r>
        <w:rPr>
          <w:rFonts w:hint="default"/>
          <w:color w:val="auto"/>
          <w:sz w:val="24"/>
          <w:highlight w:val="none"/>
        </w:rPr>
        <w:t>，根据预测结果，本项目无组织排放的</w:t>
      </w:r>
      <w:r>
        <w:rPr>
          <w:rFonts w:hint="eastAsia"/>
          <w:color w:val="auto"/>
          <w:sz w:val="24"/>
          <w:highlight w:val="none"/>
          <w:lang w:eastAsia="zh-CN"/>
        </w:rPr>
        <w:t>氨、硫化氢</w:t>
      </w:r>
      <w:r>
        <w:rPr>
          <w:rFonts w:hint="default"/>
          <w:color w:val="auto"/>
          <w:sz w:val="24"/>
          <w:highlight w:val="none"/>
        </w:rPr>
        <w:t>厂界浓度值满足《</w:t>
      </w:r>
      <w:r>
        <w:rPr>
          <w:color w:val="auto"/>
          <w:sz w:val="24"/>
          <w:highlight w:val="none"/>
          <w:lang w:val="en-US" w:eastAsia="zh-CN"/>
        </w:rPr>
        <w:t>恶臭污染物排放标准</w:t>
      </w:r>
      <w:r>
        <w:rPr>
          <w:rFonts w:hint="default"/>
          <w:color w:val="auto"/>
          <w:sz w:val="24"/>
          <w:highlight w:val="none"/>
        </w:rPr>
        <w:t>》</w:t>
      </w:r>
      <w:r>
        <w:rPr>
          <w:rFonts w:hint="eastAsia"/>
          <w:color w:val="auto"/>
          <w:sz w:val="24"/>
          <w:highlight w:val="none"/>
          <w:lang w:eastAsia="zh-CN"/>
        </w:rPr>
        <w:t>（</w:t>
      </w:r>
      <w:r>
        <w:rPr>
          <w:rFonts w:hint="eastAsia"/>
          <w:color w:val="auto"/>
          <w:sz w:val="24"/>
          <w:highlight w:val="none"/>
          <w:lang w:val="en-US" w:eastAsia="zh-CN"/>
        </w:rPr>
        <w:t>GB14554-93</w:t>
      </w:r>
      <w:r>
        <w:rPr>
          <w:rFonts w:hint="eastAsia"/>
          <w:color w:val="auto"/>
          <w:sz w:val="24"/>
          <w:highlight w:val="none"/>
          <w:lang w:eastAsia="zh-CN"/>
        </w:rPr>
        <w:t>）</w:t>
      </w:r>
      <w:r>
        <w:rPr>
          <w:rFonts w:hint="default"/>
          <w:color w:val="auto"/>
          <w:sz w:val="24"/>
          <w:highlight w:val="none"/>
        </w:rPr>
        <w:t>中标准限值，故无需计算大气环境防护距离，无需设置大气环境防护区域。</w:t>
      </w:r>
    </w:p>
    <w:p>
      <w:pPr>
        <w:bidi w:val="0"/>
        <w:rPr>
          <w:color w:val="auto"/>
          <w:sz w:val="24"/>
          <w:highlight w:val="none"/>
        </w:rPr>
      </w:pPr>
      <w:r>
        <w:rPr>
          <w:color w:val="auto"/>
          <w:sz w:val="24"/>
          <w:highlight w:val="none"/>
        </w:rPr>
        <w:t>综上所述，严格采取本项目提出的措施，确保达标排放，本项目建设不会对周围环境产生明显影响。</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w:t>
      </w:r>
      <w:r>
        <w:rPr>
          <w:rFonts w:hint="eastAsia" w:ascii="Times New Roman" w:hAnsi="Times New Roman" w:cs="Times New Roman"/>
          <w:b/>
          <w:bCs/>
          <w:color w:val="auto"/>
          <w:highlight w:val="none"/>
          <w:lang w:val="en-US" w:eastAsia="zh-CN"/>
        </w:rPr>
        <w:t>2.6</w:t>
      </w:r>
      <w:r>
        <w:rPr>
          <w:rFonts w:ascii="Times New Roman" w:hAnsi="Times New Roman" w:cs="Times New Roman"/>
          <w:b/>
          <w:bCs/>
          <w:color w:val="auto"/>
          <w:highlight w:val="none"/>
        </w:rPr>
        <w:t>小结</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1）通过项目所在区域的大气环境现状监测结果来看，评价区域监测点位的各监测值均低于环境质量评价标准，环境空气质量总体良好，符合环境功能的要求。</w:t>
      </w:r>
    </w:p>
    <w:p>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2）综上所述，本项目工程建成达产后，项目运营期在正常排放情况下，NO</w:t>
      </w:r>
      <w:r>
        <w:rPr>
          <w:rFonts w:ascii="Times New Roman" w:hAnsi="Times New Roman" w:eastAsia="宋体" w:cs="Times New Roman"/>
          <w:color w:val="auto"/>
          <w:sz w:val="24"/>
          <w:highlight w:val="none"/>
          <w:vertAlign w:val="subscript"/>
        </w:rPr>
        <w:t>x</w:t>
      </w:r>
      <w:r>
        <w:rPr>
          <w:rFonts w:ascii="Times New Roman" w:hAnsi="Times New Roman" w:eastAsia="宋体" w:cs="Times New Roman"/>
          <w:color w:val="auto"/>
          <w:sz w:val="24"/>
          <w:highlight w:val="none"/>
        </w:rPr>
        <w:t>最大落地浓度C</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0.016871</w:t>
      </w:r>
      <w:r>
        <w:rPr>
          <w:rFonts w:ascii="Times New Roman" w:hAnsi="Times New Roman" w:eastAsia="宋体" w:cs="Times New Roman"/>
          <w:color w:val="auto"/>
          <w:sz w:val="24"/>
          <w:highlight w:val="none"/>
        </w:rPr>
        <w:t>mg/m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，最大占标率P</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8.44</w:t>
      </w:r>
      <w:r>
        <w:rPr>
          <w:rFonts w:ascii="Times New Roman" w:hAnsi="Times New Roman" w:eastAsia="宋体" w:cs="Times New Roman"/>
          <w:color w:val="auto"/>
          <w:sz w:val="24"/>
          <w:highlight w:val="none"/>
        </w:rPr>
        <w:t>%；SO</w:t>
      </w:r>
      <w:r>
        <w:rPr>
          <w:rFonts w:ascii="Times New Roman" w:hAnsi="Times New Roman" w:eastAsia="宋体" w:cs="Times New Roman"/>
          <w:color w:val="auto"/>
          <w:sz w:val="24"/>
          <w:highlight w:val="none"/>
          <w:vertAlign w:val="subscript"/>
        </w:rPr>
        <w:t>2</w:t>
      </w:r>
      <w:r>
        <w:rPr>
          <w:rFonts w:ascii="Times New Roman" w:hAnsi="Times New Roman" w:eastAsia="宋体" w:cs="Times New Roman"/>
          <w:color w:val="auto"/>
          <w:sz w:val="24"/>
          <w:highlight w:val="none"/>
        </w:rPr>
        <w:t>最大落地浓度C</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为0</w:t>
      </w:r>
      <w:r>
        <w:rPr>
          <w:rFonts w:hint="eastAsia" w:ascii="Times New Roman" w:hAnsi="Times New Roman" w:eastAsia="宋体" w:cs="Times New Roman"/>
          <w:color w:val="auto"/>
          <w:sz w:val="24"/>
          <w:highlight w:val="none"/>
          <w:lang w:val="en-US" w:eastAsia="zh-CN"/>
        </w:rPr>
        <w:t>.005624</w:t>
      </w:r>
      <w:r>
        <w:rPr>
          <w:rFonts w:ascii="Times New Roman" w:hAnsi="Times New Roman" w:eastAsia="宋体" w:cs="Times New Roman"/>
          <w:color w:val="auto"/>
          <w:sz w:val="24"/>
          <w:highlight w:val="none"/>
        </w:rPr>
        <w:t>mg/m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，最大占标率P</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0.12</w:t>
      </w:r>
      <w:r>
        <w:rPr>
          <w:rFonts w:ascii="Times New Roman" w:hAnsi="Times New Roman" w:eastAsia="宋体" w:cs="Times New Roman"/>
          <w:color w:val="auto"/>
          <w:sz w:val="24"/>
          <w:highlight w:val="none"/>
        </w:rPr>
        <w:t>%；TSP最大落地浓度C</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0.000025</w:t>
      </w:r>
      <w:r>
        <w:rPr>
          <w:rFonts w:ascii="Times New Roman" w:hAnsi="Times New Roman" w:eastAsia="宋体" w:cs="Times New Roman"/>
          <w:color w:val="auto"/>
          <w:sz w:val="24"/>
          <w:highlight w:val="none"/>
        </w:rPr>
        <w:t>mg/m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，最大占标率P</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0.01</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氨</w:t>
      </w:r>
      <w:r>
        <w:rPr>
          <w:rFonts w:ascii="Times New Roman" w:hAnsi="Times New Roman" w:eastAsia="宋体" w:cs="Times New Roman"/>
          <w:color w:val="auto"/>
          <w:sz w:val="24"/>
          <w:highlight w:val="none"/>
        </w:rPr>
        <w:t>最大落地浓度C</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rPr>
        <w:t>0.000105</w:t>
      </w:r>
      <w:r>
        <w:rPr>
          <w:rFonts w:ascii="Times New Roman" w:hAnsi="Times New Roman" w:eastAsia="宋体" w:cs="Times New Roman"/>
          <w:color w:val="auto"/>
          <w:sz w:val="24"/>
          <w:highlight w:val="none"/>
        </w:rPr>
        <w:t>mg/m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，最大占标率P</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aps w:val="0"/>
          <w:smallCaps w:val="0"/>
          <w:color w:val="auto"/>
          <w:spacing w:val="0"/>
          <w:w w:val="99"/>
          <w:position w:val="0"/>
          <w:sz w:val="24"/>
          <w:szCs w:val="21"/>
          <w:highlight w:val="none"/>
          <w:lang w:val="en-US" w:eastAsia="zh-CN"/>
        </w:rPr>
        <w:t>0.05</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硫化氢</w:t>
      </w:r>
      <w:r>
        <w:rPr>
          <w:rFonts w:ascii="Times New Roman" w:hAnsi="Times New Roman" w:eastAsia="宋体" w:cs="Times New Roman"/>
          <w:color w:val="auto"/>
          <w:sz w:val="24"/>
          <w:highlight w:val="none"/>
        </w:rPr>
        <w:t>最大落地浓度C</w:t>
      </w:r>
      <w:r>
        <w:rPr>
          <w:rFonts w:ascii="Times New Roman" w:hAnsi="Times New Roman" w:eastAsia="宋体" w:cs="Times New Roman"/>
          <w:color w:val="auto"/>
          <w:sz w:val="24"/>
          <w:highlight w:val="none"/>
          <w:vertAlign w:val="subscript"/>
        </w:rPr>
        <w:t>max</w:t>
      </w:r>
      <w:r>
        <w:rPr>
          <w:rFonts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rPr>
        <w:t>0.000004</w:t>
      </w:r>
      <w:r>
        <w:rPr>
          <w:rFonts w:ascii="Times New Roman" w:hAnsi="Times New Roman" w:eastAsia="宋体" w:cs="Times New Roman"/>
          <w:color w:val="auto"/>
          <w:sz w:val="24"/>
          <w:highlight w:val="none"/>
        </w:rPr>
        <w:t>mg/m</w:t>
      </w:r>
      <w:r>
        <w:rPr>
          <w:rFonts w:ascii="Times New Roman" w:hAnsi="Times New Roman" w:eastAsia="宋体" w:cs="Times New Roman"/>
          <w:color w:val="auto"/>
          <w:sz w:val="24"/>
          <w:highlight w:val="none"/>
          <w:vertAlign w:val="superscript"/>
        </w:rPr>
        <w:t>3</w:t>
      </w:r>
      <w:r>
        <w:rPr>
          <w:rFonts w:ascii="Times New Roman" w:hAnsi="Times New Roman" w:eastAsia="宋体" w:cs="Times New Roman"/>
          <w:color w:val="auto"/>
          <w:sz w:val="24"/>
          <w:highlight w:val="none"/>
        </w:rPr>
        <w:t>，最大占标率Pmax为</w:t>
      </w:r>
      <w:r>
        <w:rPr>
          <w:rFonts w:hint="eastAsia" w:ascii="Times New Roman" w:hAnsi="Times New Roman" w:eastAsia="宋体" w:cs="Times New Roman"/>
          <w:caps w:val="0"/>
          <w:smallCaps w:val="0"/>
          <w:color w:val="auto"/>
          <w:spacing w:val="0"/>
          <w:w w:val="99"/>
          <w:position w:val="0"/>
          <w:sz w:val="24"/>
          <w:szCs w:val="21"/>
          <w:highlight w:val="none"/>
          <w:lang w:val="en-US" w:eastAsia="zh-CN"/>
        </w:rPr>
        <w:t>0.04</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NO</w:t>
      </w:r>
      <w:r>
        <w:rPr>
          <w:rFonts w:ascii="Times New Roman" w:hAnsi="Times New Roman" w:eastAsia="宋体" w:cs="Times New Roman"/>
          <w:color w:val="auto"/>
          <w:sz w:val="24"/>
          <w:highlight w:val="none"/>
          <w:vertAlign w:val="subscript"/>
        </w:rPr>
        <w:t>x</w:t>
      </w:r>
      <w:r>
        <w:rPr>
          <w:rFonts w:ascii="Times New Roman" w:hAnsi="Times New Roman" w:eastAsia="宋体" w:cs="Times New Roman"/>
          <w:color w:val="auto"/>
          <w:sz w:val="24"/>
          <w:highlight w:val="none"/>
        </w:rPr>
        <w:t>、TSP</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SO</w:t>
      </w:r>
      <w:r>
        <w:rPr>
          <w:rFonts w:hint="eastAsia" w:ascii="Times New Roman" w:hAnsi="Times New Roman" w:eastAsia="宋体"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、氨、硫化氢</w:t>
      </w:r>
      <w:r>
        <w:rPr>
          <w:rFonts w:ascii="Times New Roman" w:hAnsi="Times New Roman" w:eastAsia="宋体" w:cs="Times New Roman"/>
          <w:color w:val="auto"/>
          <w:sz w:val="24"/>
          <w:highlight w:val="none"/>
        </w:rPr>
        <w:t>最大落地浓度均远低于环境质量标准，对周围环境空气的影响不大。经过分析，本项目对敏感点的污染物浓度预测值均低于评价标准，对周边敏感目标的影响不大。</w:t>
      </w:r>
    </w:p>
    <w:p>
      <w:pPr>
        <w:bidi w:val="0"/>
        <w:rPr>
          <w:color w:val="auto"/>
          <w:sz w:val="24"/>
          <w:highlight w:val="none"/>
        </w:rPr>
      </w:pPr>
      <w:r>
        <w:rPr>
          <w:rFonts w:hint="eastAsia"/>
          <w:color w:val="auto"/>
          <w:sz w:val="24"/>
          <w:highlight w:val="none"/>
          <w:lang w:eastAsia="zh-CN"/>
        </w:rPr>
        <w:t>（</w:t>
      </w:r>
      <w:r>
        <w:rPr>
          <w:color w:val="auto"/>
          <w:sz w:val="24"/>
          <w:highlight w:val="none"/>
        </w:rPr>
        <w:t>3）总体来看，本项目废气排放对环境的影响是可以接受的。评价范围内敏感目标的预测结果值均未出现超标情况，说明本项目污染物排放对敏感目标影响不大。建设单位应落实本评价提出的大气污染防治措施，加强环保设施运行管理，从环境空气影响角度分析，本项目建设是可行的。</w:t>
      </w:r>
    </w:p>
    <w:p>
      <w:pPr>
        <w:bidi w:val="0"/>
        <w:rPr>
          <w:rFonts w:hint="default"/>
          <w:color w:val="auto"/>
          <w:sz w:val="24"/>
          <w:highlight w:val="none"/>
        </w:rPr>
      </w:pPr>
      <w:r>
        <w:rPr>
          <w:rFonts w:hint="default"/>
          <w:color w:val="auto"/>
          <w:sz w:val="24"/>
          <w:highlight w:val="none"/>
        </w:rPr>
        <w:t>大气环境影响评价自查表见表</w:t>
      </w:r>
      <w:r>
        <w:rPr>
          <w:rFonts w:hint="eastAsia"/>
          <w:color w:val="auto"/>
          <w:sz w:val="24"/>
          <w:highlight w:val="none"/>
          <w:lang w:val="en-US" w:eastAsia="zh-CN"/>
        </w:rPr>
        <w:t>5.2.2.6-1</w:t>
      </w:r>
      <w:r>
        <w:rPr>
          <w:rFonts w:hint="default"/>
          <w:color w:val="auto"/>
          <w:sz w:val="24"/>
          <w:highlight w:val="none"/>
        </w:rPr>
        <w:t>。</w:t>
      </w:r>
      <w:bookmarkStart w:id="1038" w:name="_Toc21018"/>
      <w:bookmarkStart w:id="1039" w:name="_Toc15913"/>
      <w:bookmarkStart w:id="1040" w:name="_Toc20487"/>
      <w:bookmarkStart w:id="1041" w:name="_Toc13199"/>
      <w:bookmarkStart w:id="1042" w:name="_Toc16521"/>
    </w:p>
    <w:p>
      <w:pPr>
        <w:bidi w:val="0"/>
        <w:rPr>
          <w:rFonts w:ascii="Times New Roman" w:hAnsi="Times New Roman" w:cs="Times New Roman"/>
          <w:color w:val="auto"/>
          <w:sz w:val="24"/>
          <w:highlight w:val="none"/>
        </w:rPr>
      </w:pPr>
      <w:r>
        <w:rPr>
          <w:rFonts w:ascii="Times New Roman" w:hAnsi="Times New Roman" w:cs="Times New Roman"/>
          <w:color w:val="auto"/>
          <w:sz w:val="24"/>
          <w:highlight w:val="none"/>
        </w:rPr>
        <w:t>表</w:t>
      </w:r>
      <w:r>
        <w:rPr>
          <w:rFonts w:hint="eastAsia" w:ascii="Times New Roman" w:hAnsi="Times New Roman" w:cs="Times New Roman"/>
          <w:color w:val="auto"/>
          <w:sz w:val="24"/>
          <w:highlight w:val="none"/>
          <w:lang w:val="en-US" w:eastAsia="zh-CN"/>
        </w:rPr>
        <w:t>5.2.2.6-1</w:t>
      </w:r>
      <w:r>
        <w:rPr>
          <w:rFonts w:ascii="Times New Roman" w:hAnsi="Times New Roman" w:cs="Times New Roman"/>
          <w:color w:val="auto"/>
          <w:sz w:val="24"/>
          <w:highlight w:val="none"/>
        </w:rPr>
        <w:t xml:space="preserve">     </w:t>
      </w:r>
      <w:r>
        <w:rPr>
          <w:rFonts w:hint="eastAsia" w:ascii="Times New Roman" w:hAnsi="Times New Roman" w:cs="Times New Roman"/>
          <w:color w:val="auto"/>
          <w:sz w:val="24"/>
          <w:highlight w:val="none"/>
          <w:lang w:val="en-US" w:eastAsia="zh-CN"/>
        </w:rPr>
        <w:t xml:space="preserve">       </w:t>
      </w:r>
      <w:r>
        <w:rPr>
          <w:rFonts w:ascii="Times New Roman" w:hAnsi="Times New Roman" w:cs="Times New Roman"/>
          <w:color w:val="auto"/>
          <w:sz w:val="24"/>
          <w:highlight w:val="none"/>
        </w:rPr>
        <w:t xml:space="preserve"> 建设项目大气环境影响评价自查表</w:t>
      </w:r>
    </w:p>
    <w:tbl>
      <w:tblPr>
        <w:tblStyle w:val="23"/>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581"/>
        <w:gridCol w:w="1150"/>
        <w:gridCol w:w="125"/>
        <w:gridCol w:w="498"/>
        <w:gridCol w:w="202"/>
        <w:gridCol w:w="194"/>
        <w:gridCol w:w="316"/>
        <w:gridCol w:w="170"/>
        <w:gridCol w:w="820"/>
        <w:gridCol w:w="155"/>
        <w:gridCol w:w="64"/>
        <w:gridCol w:w="296"/>
        <w:gridCol w:w="460"/>
        <w:gridCol w:w="75"/>
        <w:gridCol w:w="443"/>
        <w:gridCol w:w="195"/>
        <w:gridCol w:w="577"/>
        <w:gridCol w:w="6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8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工作内容</w:t>
            </w:r>
          </w:p>
        </w:tc>
        <w:tc>
          <w:tcPr>
            <w:tcW w:w="6390" w:type="dxa"/>
            <w:gridSpan w:val="1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评价等级与范围</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评价等级</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一级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二级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三级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评价范围</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边长=50km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边长5~50km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边长&lt;5km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评价因子</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SO</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w:t>
            </w:r>
            <w:r>
              <w:rPr>
                <w:rFonts w:hint="default" w:ascii="Times New Roman" w:hAnsi="Times New Roman" w:eastAsia="宋体" w:cs="Times New Roman"/>
                <w:caps w:val="0"/>
                <w:smallCaps w:val="0"/>
                <w:color w:val="auto"/>
                <w:spacing w:val="0"/>
                <w:w w:val="100"/>
                <w:kern w:val="21"/>
                <w:position w:val="0"/>
                <w:sz w:val="21"/>
                <w:szCs w:val="21"/>
                <w:highlight w:val="none"/>
              </w:rPr>
              <w:t>+NO</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X</w:t>
            </w:r>
            <w:r>
              <w:rPr>
                <w:rFonts w:hint="default" w:ascii="Times New Roman" w:hAnsi="Times New Roman" w:eastAsia="宋体" w:cs="Times New Roman"/>
                <w:caps w:val="0"/>
                <w:smallCaps w:val="0"/>
                <w:color w:val="auto"/>
                <w:spacing w:val="0"/>
                <w:w w:val="100"/>
                <w:kern w:val="21"/>
                <w:position w:val="0"/>
                <w:sz w:val="21"/>
                <w:szCs w:val="21"/>
                <w:highlight w:val="none"/>
              </w:rPr>
              <w:t>排放</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≧2000t/a</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500~2000t/a</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&lt;500t/a</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评价因子</w:t>
            </w:r>
          </w:p>
        </w:tc>
        <w:tc>
          <w:tcPr>
            <w:tcW w:w="4525" w:type="dxa"/>
            <w:gridSpan w:val="1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基本污染物（PM</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10</w:t>
            </w:r>
            <w:r>
              <w:rPr>
                <w:rFonts w:hint="default" w:ascii="Times New Roman" w:hAnsi="Times New Roman" w:eastAsia="宋体" w:cs="Times New Roman"/>
                <w:caps w:val="0"/>
                <w:smallCaps w:val="0"/>
                <w:color w:val="auto"/>
                <w:spacing w:val="0"/>
                <w:w w:val="100"/>
                <w:kern w:val="21"/>
                <w:position w:val="0"/>
                <w:sz w:val="21"/>
                <w:szCs w:val="21"/>
                <w:highlight w:val="none"/>
              </w:rPr>
              <w:t>、NO</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x</w:t>
            </w:r>
            <w:r>
              <w:rPr>
                <w:rFonts w:hint="default" w:ascii="Times New Roman" w:hAnsi="Times New Roman" w:eastAsia="宋体" w:cs="Times New Roman"/>
                <w:caps w:val="0"/>
                <w:smallCaps w:val="0"/>
                <w:color w:val="auto"/>
                <w:spacing w:val="0"/>
                <w:w w:val="100"/>
                <w:kern w:val="21"/>
                <w:position w:val="0"/>
                <w:sz w:val="21"/>
                <w:szCs w:val="21"/>
                <w:highlight w:val="none"/>
              </w:rPr>
              <w:t>、SO</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w:t>
            </w:r>
            <w:r>
              <w:rPr>
                <w:rFonts w:hint="default" w:ascii="Times New Roman" w:hAnsi="Times New Roman" w:eastAsia="宋体" w:cs="Times New Roman"/>
                <w:bCs/>
                <w:caps w:val="0"/>
                <w:smallCaps w:val="0"/>
                <w:color w:val="auto"/>
                <w:spacing w:val="0"/>
                <w:w w:val="100"/>
                <w:kern w:val="21"/>
                <w:position w:val="0"/>
                <w:sz w:val="21"/>
                <w:szCs w:val="21"/>
                <w:highlight w:val="none"/>
              </w:rPr>
              <w:t>PM</w:t>
            </w:r>
            <w:r>
              <w:rPr>
                <w:rFonts w:hint="default" w:ascii="Times New Roman" w:hAnsi="Times New Roman" w:eastAsia="宋体" w:cs="Times New Roman"/>
                <w:bCs/>
                <w:caps w:val="0"/>
                <w:smallCaps w:val="0"/>
                <w:color w:val="auto"/>
                <w:spacing w:val="0"/>
                <w:w w:val="100"/>
                <w:kern w:val="21"/>
                <w:position w:val="0"/>
                <w:sz w:val="21"/>
                <w:szCs w:val="21"/>
                <w:highlight w:val="none"/>
                <w:vertAlign w:val="subscript"/>
              </w:rPr>
              <w:t>2.5</w:t>
            </w:r>
            <w:r>
              <w:rPr>
                <w:rFonts w:hint="default" w:ascii="Times New Roman" w:hAnsi="Times New Roman" w:eastAsia="宋体" w:cs="Times New Roman"/>
                <w:bCs/>
                <w:caps w:val="0"/>
                <w:smallCaps w:val="0"/>
                <w:color w:val="auto"/>
                <w:spacing w:val="0"/>
                <w:w w:val="100"/>
                <w:kern w:val="21"/>
                <w:position w:val="0"/>
                <w:sz w:val="21"/>
                <w:szCs w:val="21"/>
                <w:highlight w:val="none"/>
              </w:rPr>
              <w:t>、CO、O</w:t>
            </w:r>
            <w:r>
              <w:rPr>
                <w:rFonts w:hint="default" w:ascii="Times New Roman" w:hAnsi="Times New Roman" w:eastAsia="宋体" w:cs="Times New Roman"/>
                <w:bCs/>
                <w:caps w:val="0"/>
                <w:smallCaps w:val="0"/>
                <w:color w:val="auto"/>
                <w:spacing w:val="0"/>
                <w:w w:val="100"/>
                <w:kern w:val="21"/>
                <w:position w:val="0"/>
                <w:sz w:val="21"/>
                <w:szCs w:val="21"/>
                <w:highlight w:val="none"/>
                <w:vertAlign w:val="subscript"/>
              </w:rPr>
              <w:t>3</w:t>
            </w:r>
            <w:r>
              <w:rPr>
                <w:rFonts w:hint="default" w:ascii="Times New Roman" w:hAnsi="Times New Roman" w:eastAsia="宋体" w:cs="Times New Roman"/>
                <w:caps w:val="0"/>
                <w:smallCaps w:val="0"/>
                <w:color w:val="auto"/>
                <w:spacing w:val="0"/>
                <w:w w:val="100"/>
                <w:kern w:val="21"/>
                <w:position w:val="0"/>
                <w:sz w:val="21"/>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其他污染物（</w:t>
            </w: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氨、硫化氢</w:t>
            </w:r>
            <w:r>
              <w:rPr>
                <w:rFonts w:hint="default" w:ascii="Times New Roman" w:hAnsi="Times New Roman" w:eastAsia="宋体" w:cs="Times New Roman"/>
                <w:caps w:val="0"/>
                <w:smallCaps w:val="0"/>
                <w:color w:val="auto"/>
                <w:spacing w:val="0"/>
                <w:w w:val="100"/>
                <w:kern w:val="21"/>
                <w:position w:val="0"/>
                <w:sz w:val="21"/>
                <w:szCs w:val="21"/>
                <w:highlight w:val="none"/>
              </w:rPr>
              <w:t>）</w:t>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包括二次PM</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2.5</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不包括二次PM</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2.5</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评价标准</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评价标准</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国家标准</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461"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地方标准</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33"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附录D</w:t>
            </w:r>
          </w:p>
        </w:tc>
        <w:tc>
          <w:tcPr>
            <w:tcW w:w="122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其他标准</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现状评价</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环境功能区</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一类区</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二类区</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一类区和二类区</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评价基准年</w:t>
            </w:r>
          </w:p>
        </w:tc>
        <w:tc>
          <w:tcPr>
            <w:tcW w:w="6390" w:type="dxa"/>
            <w:gridSpan w:val="1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（20</w:t>
            </w:r>
            <w:r>
              <w:rPr>
                <w:rFonts w:hint="default" w:ascii="Times New Roman" w:hAnsi="Times New Roman" w:eastAsia="宋体" w:cs="Times New Roman"/>
                <w:caps w:val="0"/>
                <w:smallCaps w:val="0"/>
                <w:color w:val="auto"/>
                <w:spacing w:val="0"/>
                <w:w w:val="100"/>
                <w:kern w:val="21"/>
                <w:position w:val="0"/>
                <w:sz w:val="21"/>
                <w:szCs w:val="21"/>
                <w:highlight w:val="none"/>
                <w:lang w:val="en-US" w:eastAsia="zh-CN"/>
              </w:rPr>
              <w:t>2</w:t>
            </w:r>
            <w:r>
              <w:rPr>
                <w:rFonts w:hint="eastAsia" w:ascii="Times New Roman" w:cs="Times New Roman"/>
                <w:caps w:val="0"/>
                <w:smallCaps w:val="0"/>
                <w:color w:val="auto"/>
                <w:spacing w:val="0"/>
                <w:w w:val="100"/>
                <w:kern w:val="21"/>
                <w:position w:val="0"/>
                <w:sz w:val="21"/>
                <w:szCs w:val="21"/>
                <w:highlight w:val="none"/>
                <w:lang w:val="en-US" w:eastAsia="zh-CN"/>
              </w:rPr>
              <w:t>2</w:t>
            </w:r>
            <w:r>
              <w:rPr>
                <w:rFonts w:hint="default" w:ascii="Times New Roman" w:hAnsi="Times New Roman" w:eastAsia="宋体" w:cs="Times New Roman"/>
                <w:caps w:val="0"/>
                <w:smallCaps w:val="0"/>
                <w:color w:val="auto"/>
                <w:spacing w:val="0"/>
                <w:w w:val="100"/>
                <w:kern w:val="21"/>
                <w:position w:val="0"/>
                <w:sz w:val="21"/>
                <w:szCs w:val="21"/>
                <w:highlight w:val="none"/>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环境空气质量</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现状调查数据来源</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长期例行监测数据</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主管部门发布的数据</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现状补充监测</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现状评价</w:t>
            </w:r>
          </w:p>
        </w:tc>
        <w:tc>
          <w:tcPr>
            <w:tcW w:w="3694"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达标区</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696"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不达标区</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污染源</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调查</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调查内容</w:t>
            </w:r>
          </w:p>
        </w:tc>
        <w:tc>
          <w:tcPr>
            <w:tcW w:w="2485"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建设项目正常排放源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建设项目非正常排放源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现有污染源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20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拟替代的污染源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其他在建、拟建项目污染源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22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区域污染源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大气环境影响预测与评价</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预测模型</w:t>
            </w:r>
          </w:p>
        </w:tc>
        <w:tc>
          <w:tcPr>
            <w:tcW w:w="11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AERMOD</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82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ADMS</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0"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AUSTAL2000</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97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EDMS</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290"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CALPUFF</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预测范围</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边长≧50km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281"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边长5~50km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94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边长&lt;5km</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预测因子</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预测因子</w:t>
            </w:r>
          </w:p>
        </w:tc>
        <w:tc>
          <w:tcPr>
            <w:tcW w:w="3735"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包括二次PM</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2.5</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不包括二次PM</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2.5</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正常排放短期浓度贡献值</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3735"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最大占标率&gt;100%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正常排放年均浓度贡献值</w:t>
            </w:r>
          </w:p>
        </w:tc>
        <w:tc>
          <w:tcPr>
            <w:tcW w:w="1773"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一类区</w:t>
            </w:r>
          </w:p>
        </w:tc>
        <w:tc>
          <w:tcPr>
            <w:tcW w:w="2217"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最大占标率≦10%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2400"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最大占标率＞10%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773"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二类区</w:t>
            </w:r>
          </w:p>
        </w:tc>
        <w:tc>
          <w:tcPr>
            <w:tcW w:w="2217"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最大占标率≦30%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400"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rPr>
              <w:t>建设项目</w:t>
            </w:r>
            <w:r>
              <w:rPr>
                <w:rFonts w:hint="default" w:ascii="Times New Roman" w:hAnsi="Times New Roman" w:eastAsia="宋体" w:cs="Times New Roman"/>
                <w:caps w:val="0"/>
                <w:smallCaps w:val="0"/>
                <w:color w:val="auto"/>
                <w:spacing w:val="0"/>
                <w:w w:val="100"/>
                <w:kern w:val="21"/>
                <w:position w:val="0"/>
                <w:sz w:val="21"/>
                <w:szCs w:val="21"/>
                <w:highlight w:val="none"/>
              </w:rPr>
              <w:t>最大占标率＞30%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非正常排放1h浓度贡献值</w:t>
            </w:r>
          </w:p>
        </w:tc>
        <w:tc>
          <w:tcPr>
            <w:tcW w:w="2169"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非正常持续时长（）h</w:t>
            </w:r>
          </w:p>
        </w:tc>
        <w:tc>
          <w:tcPr>
            <w:tcW w:w="2356"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C非正常占标率≦100%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86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C非正常占标率&gt;100%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保证率日平均浓度和年评价浓度叠加值</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C叠加达标</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3735"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C叠加不达标</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区域环境质量的整体变化情况</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k≦-20%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3735"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K&gt;-20%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环境监测计划</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污染源监测</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监测因子：（</w:t>
            </w: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氨、硫化氢</w:t>
            </w:r>
            <w:r>
              <w:rPr>
                <w:rFonts w:hint="default" w:ascii="Times New Roman" w:hAnsi="Times New Roman" w:eastAsia="宋体" w:cs="Times New Roman"/>
                <w:caps w:val="0"/>
                <w:smallCaps w:val="0"/>
                <w:color w:val="auto"/>
                <w:spacing w:val="0"/>
                <w:w w:val="100"/>
                <w:kern w:val="21"/>
                <w:position w:val="0"/>
                <w:sz w:val="21"/>
                <w:szCs w:val="21"/>
                <w:highlight w:val="none"/>
              </w:rPr>
              <w:t>）</w:t>
            </w:r>
          </w:p>
        </w:tc>
        <w:tc>
          <w:tcPr>
            <w:tcW w:w="2313"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有组织废气监测</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无组织废气监测</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22"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无监测</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环境质量监测</w:t>
            </w:r>
          </w:p>
        </w:tc>
        <w:tc>
          <w:tcPr>
            <w:tcW w:w="265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监测因子：（）</w:t>
            </w:r>
          </w:p>
        </w:tc>
        <w:tc>
          <w:tcPr>
            <w:tcW w:w="2313"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监测点位数（）</w:t>
            </w:r>
          </w:p>
        </w:tc>
        <w:tc>
          <w:tcPr>
            <w:tcW w:w="1422"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无监测</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环评结论</w:t>
            </w: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环境影响</w:t>
            </w:r>
          </w:p>
        </w:tc>
        <w:tc>
          <w:tcPr>
            <w:tcW w:w="6390" w:type="dxa"/>
            <w:gridSpan w:val="1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可以接受</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r>
              <w:rPr>
                <w:rFonts w:hint="default" w:ascii="Times New Roman" w:hAnsi="Times New Roman" w:eastAsia="宋体" w:cs="Times New Roman"/>
                <w:caps w:val="0"/>
                <w:smallCaps w:val="0"/>
                <w:color w:val="auto"/>
                <w:spacing w:val="0"/>
                <w:w w:val="100"/>
                <w:kern w:val="21"/>
                <w:position w:val="0"/>
                <w:sz w:val="21"/>
                <w:szCs w:val="21"/>
                <w:highlight w:val="none"/>
              </w:rPr>
              <w:t>不可以接受</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大气防护距离</w:t>
            </w:r>
          </w:p>
        </w:tc>
        <w:tc>
          <w:tcPr>
            <w:tcW w:w="6390" w:type="dxa"/>
            <w:gridSpan w:val="17"/>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距（）厂界最远（）m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污染源</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年排放量</w:t>
            </w:r>
          </w:p>
        </w:tc>
        <w:tc>
          <w:tcPr>
            <w:tcW w:w="12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NOx：</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w:t>
            </w:r>
            <w:r>
              <w:rPr>
                <w:rFonts w:hint="eastAsia" w:ascii="Times New Roman" w:cs="Times New Roman"/>
                <w:caps w:val="0"/>
                <w:smallCaps w:val="0"/>
                <w:color w:val="auto"/>
                <w:spacing w:val="0"/>
                <w:w w:val="100"/>
                <w:kern w:val="21"/>
                <w:position w:val="0"/>
                <w:sz w:val="21"/>
                <w:szCs w:val="21"/>
                <w:highlight w:val="none"/>
                <w:lang w:val="en-US" w:eastAsia="zh-CN"/>
              </w:rPr>
              <w:t>4.25</w:t>
            </w:r>
            <w:r>
              <w:rPr>
                <w:rFonts w:hint="default" w:ascii="Times New Roman" w:hAnsi="Times New Roman" w:eastAsia="宋体" w:cs="Times New Roman"/>
                <w:caps w:val="0"/>
                <w:smallCaps w:val="0"/>
                <w:color w:val="auto"/>
                <w:spacing w:val="0"/>
                <w:w w:val="100"/>
                <w:kern w:val="21"/>
                <w:position w:val="0"/>
                <w:sz w:val="21"/>
                <w:szCs w:val="21"/>
                <w:highlight w:val="none"/>
              </w:rPr>
              <w:t>）t/a</w:t>
            </w:r>
          </w:p>
        </w:tc>
        <w:tc>
          <w:tcPr>
            <w:tcW w:w="138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lang w:val="en-US" w:eastAsia="zh-CN"/>
              </w:rPr>
              <w:t>SO</w:t>
            </w:r>
            <w:r>
              <w:rPr>
                <w:rFonts w:hint="default" w:ascii="Times New Roman" w:hAnsi="Times New Roman" w:eastAsia="宋体" w:cs="Times New Roman"/>
                <w:caps w:val="0"/>
                <w:smallCaps w:val="0"/>
                <w:color w:val="auto"/>
                <w:spacing w:val="0"/>
                <w:w w:val="100"/>
                <w:kern w:val="21"/>
                <w:position w:val="0"/>
                <w:sz w:val="21"/>
                <w:szCs w:val="21"/>
                <w:highlight w:val="none"/>
                <w:vertAlign w:val="subscript"/>
                <w:lang w:val="en-US" w:eastAsia="zh-CN"/>
              </w:rPr>
              <w:t>2</w:t>
            </w:r>
            <w:r>
              <w:rPr>
                <w:rFonts w:hint="default" w:ascii="Times New Roman" w:hAnsi="Times New Roman" w:eastAsia="宋体" w:cs="Times New Roman"/>
                <w:caps w:val="0"/>
                <w:smallCaps w:val="0"/>
                <w:color w:val="auto"/>
                <w:spacing w:val="0"/>
                <w:w w:val="100"/>
                <w:kern w:val="21"/>
                <w:position w:val="0"/>
                <w:sz w:val="21"/>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w:t>
            </w:r>
            <w:r>
              <w:rPr>
                <w:rFonts w:hint="eastAsia" w:ascii="Times New Roman" w:cs="Times New Roman"/>
                <w:caps w:val="0"/>
                <w:smallCaps w:val="0"/>
                <w:color w:val="auto"/>
                <w:spacing w:val="0"/>
                <w:w w:val="100"/>
                <w:kern w:val="21"/>
                <w:position w:val="0"/>
                <w:sz w:val="21"/>
                <w:szCs w:val="21"/>
                <w:highlight w:val="none"/>
                <w:lang w:val="en-US" w:eastAsia="zh-CN"/>
              </w:rPr>
              <w:t>1.41</w:t>
            </w:r>
            <w:r>
              <w:rPr>
                <w:rFonts w:hint="default" w:ascii="Times New Roman" w:hAnsi="Times New Roman" w:eastAsia="宋体" w:cs="Times New Roman"/>
                <w:caps w:val="0"/>
                <w:smallCaps w:val="0"/>
                <w:color w:val="auto"/>
                <w:spacing w:val="0"/>
                <w:w w:val="100"/>
                <w:kern w:val="21"/>
                <w:position w:val="0"/>
                <w:sz w:val="21"/>
                <w:szCs w:val="21"/>
                <w:highlight w:val="none"/>
              </w:rPr>
              <w:t>）t/a</w:t>
            </w:r>
          </w:p>
        </w:tc>
        <w:tc>
          <w:tcPr>
            <w:tcW w:w="133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颗粒物：（</w:t>
            </w:r>
            <w:r>
              <w:rPr>
                <w:rFonts w:hint="eastAsia" w:ascii="Times New Roman" w:hAnsi="Times New Roman" w:eastAsia="宋体" w:cs="Times New Roman"/>
                <w:caps w:val="0"/>
                <w:smallCaps w:val="0"/>
                <w:color w:val="auto"/>
                <w:spacing w:val="0"/>
                <w:w w:val="100"/>
                <w:kern w:val="21"/>
                <w:position w:val="0"/>
                <w:sz w:val="21"/>
                <w:szCs w:val="21"/>
                <w:highlight w:val="none"/>
                <w:lang w:val="en-US" w:eastAsia="zh-CN"/>
              </w:rPr>
              <w:t>0.0</w:t>
            </w:r>
            <w:r>
              <w:rPr>
                <w:rFonts w:hint="eastAsia" w:ascii="Times New Roman" w:cs="Times New Roman"/>
                <w:caps w:val="0"/>
                <w:smallCaps w:val="0"/>
                <w:color w:val="auto"/>
                <w:spacing w:val="0"/>
                <w:w w:val="100"/>
                <w:kern w:val="21"/>
                <w:position w:val="0"/>
                <w:sz w:val="21"/>
                <w:szCs w:val="21"/>
                <w:highlight w:val="none"/>
                <w:lang w:val="en-US" w:eastAsia="zh-CN"/>
              </w:rPr>
              <w:t>0625</w:t>
            </w:r>
            <w:r>
              <w:rPr>
                <w:rFonts w:hint="default" w:ascii="Times New Roman" w:hAnsi="Times New Roman" w:eastAsia="宋体" w:cs="Times New Roman"/>
                <w:caps w:val="0"/>
                <w:smallCaps w:val="0"/>
                <w:color w:val="auto"/>
                <w:spacing w:val="0"/>
                <w:w w:val="100"/>
                <w:kern w:val="21"/>
                <w:position w:val="0"/>
                <w:sz w:val="21"/>
                <w:szCs w:val="21"/>
                <w:highlight w:val="none"/>
              </w:rPr>
              <w:t>）t/a</w:t>
            </w:r>
          </w:p>
        </w:tc>
        <w:tc>
          <w:tcPr>
            <w:tcW w:w="1173"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1"/>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氨；</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1"/>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w:t>
            </w:r>
            <w:r>
              <w:rPr>
                <w:rFonts w:hint="eastAsia" w:cs="Times New Roman"/>
                <w:caps w:val="0"/>
                <w:smallCaps w:val="0"/>
                <w:color w:val="auto"/>
                <w:spacing w:val="0"/>
                <w:w w:val="100"/>
                <w:kern w:val="21"/>
                <w:position w:val="0"/>
                <w:sz w:val="21"/>
                <w:szCs w:val="21"/>
                <w:highlight w:val="none"/>
                <w:lang w:val="en-US" w:eastAsia="zh-CN"/>
              </w:rPr>
              <w:t>0.0648</w:t>
            </w: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w:t>
            </w:r>
            <w:r>
              <w:rPr>
                <w:rFonts w:hint="default" w:ascii="Times New Roman" w:hAnsi="Times New Roman" w:eastAsia="宋体" w:cs="Times New Roman"/>
                <w:caps w:val="0"/>
                <w:smallCaps w:val="0"/>
                <w:color w:val="auto"/>
                <w:spacing w:val="0"/>
                <w:w w:val="100"/>
                <w:kern w:val="21"/>
                <w:position w:val="0"/>
                <w:sz w:val="21"/>
                <w:szCs w:val="21"/>
                <w:highlight w:val="none"/>
              </w:rPr>
              <w:t>t/a</w:t>
            </w:r>
          </w:p>
        </w:tc>
        <w:tc>
          <w:tcPr>
            <w:tcW w:w="122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1"/>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硫化氢；</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1"/>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w:t>
            </w:r>
            <w:r>
              <w:rPr>
                <w:rFonts w:hint="eastAsia" w:ascii="Times New Roman" w:hAnsi="Times New Roman" w:eastAsia="宋体" w:cs="Times New Roman"/>
                <w:caps w:val="0"/>
                <w:smallCaps w:val="0"/>
                <w:color w:val="auto"/>
                <w:spacing w:val="0"/>
                <w:w w:val="100"/>
                <w:kern w:val="21"/>
                <w:position w:val="0"/>
                <w:sz w:val="21"/>
                <w:szCs w:val="21"/>
                <w:highlight w:val="none"/>
                <w:lang w:val="en-US" w:eastAsia="zh-CN"/>
              </w:rPr>
              <w:t>0.00</w:t>
            </w:r>
            <w:r>
              <w:rPr>
                <w:rFonts w:hint="eastAsia" w:cs="Times New Roman"/>
                <w:caps w:val="0"/>
                <w:smallCaps w:val="0"/>
                <w:color w:val="auto"/>
                <w:spacing w:val="0"/>
                <w:w w:val="100"/>
                <w:kern w:val="21"/>
                <w:position w:val="0"/>
                <w:sz w:val="21"/>
                <w:szCs w:val="21"/>
                <w:highlight w:val="none"/>
                <w:lang w:val="en-US" w:eastAsia="zh-CN"/>
              </w:rPr>
              <w:t>252</w:t>
            </w: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w:t>
            </w:r>
            <w:r>
              <w:rPr>
                <w:rFonts w:hint="default" w:ascii="Times New Roman" w:hAnsi="Times New Roman" w:eastAsia="宋体" w:cs="Times New Roman"/>
                <w:caps w:val="0"/>
                <w:smallCaps w:val="0"/>
                <w:color w:val="auto"/>
                <w:spacing w:val="0"/>
                <w:w w:val="100"/>
                <w:kern w:val="21"/>
                <w:position w:val="0"/>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gridSpan w:val="19"/>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注：“</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r>
              <w:rPr>
                <w:rFonts w:hint="default" w:ascii="Times New Roman" w:hAnsi="Times New Roman" w:eastAsia="宋体" w:cs="Times New Roman"/>
                <w:caps w:val="0"/>
                <w:smallCaps w:val="0"/>
                <w:color w:val="auto"/>
                <w:spacing w:val="0"/>
                <w:w w:val="100"/>
                <w:kern w:val="21"/>
                <w:position w:val="0"/>
                <w:sz w:val="21"/>
                <w:szCs w:val="21"/>
                <w:highlight w:val="none"/>
              </w:rPr>
              <w:t>”为勾选项，填“√”；“（）”为内容填写项</w:t>
            </w:r>
          </w:p>
        </w:tc>
      </w:tr>
    </w:tbl>
    <w:p>
      <w:pPr>
        <w:rPr>
          <w:color w:val="auto"/>
          <w:highlight w:val="none"/>
        </w:rPr>
      </w:pPr>
      <w:r>
        <w:rPr>
          <w:color w:val="auto"/>
          <w:highlight w:val="none"/>
        </w:rPr>
        <w:br w:type="page"/>
      </w:r>
    </w:p>
    <w:p>
      <w:pPr>
        <w:pStyle w:val="7"/>
        <w:bidi w:val="0"/>
        <w:rPr>
          <w:color w:val="auto"/>
          <w:highlight w:val="none"/>
        </w:rPr>
      </w:pPr>
      <w:bookmarkStart w:id="1043" w:name="_Toc14169"/>
      <w:r>
        <w:rPr>
          <w:color w:val="auto"/>
          <w:highlight w:val="none"/>
        </w:rPr>
        <w:t>5.2.3噪声环境影响评价</w:t>
      </w:r>
      <w:bookmarkEnd w:id="1038"/>
      <w:bookmarkEnd w:id="1039"/>
      <w:bookmarkEnd w:id="1040"/>
      <w:bookmarkEnd w:id="1041"/>
      <w:bookmarkEnd w:id="1042"/>
      <w:bookmarkEnd w:id="1043"/>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bookmarkStart w:id="1044" w:name="_Toc30381"/>
      <w:bookmarkStart w:id="1045" w:name="_Toc15371"/>
      <w:bookmarkStart w:id="1046" w:name="_Toc24333"/>
      <w:bookmarkStart w:id="1047" w:name="_Toc27334"/>
      <w:bookmarkStart w:id="1048" w:name="_Toc26935"/>
      <w:bookmarkStart w:id="1049" w:name="_Toc1667"/>
      <w:bookmarkStart w:id="1050" w:name="_Toc32283"/>
      <w:r>
        <w:rPr>
          <w:b/>
          <w:bCs/>
          <w:color w:val="auto"/>
          <w:highlight w:val="none"/>
        </w:rPr>
        <w:t>5.2.3.1预测范围与内容</w:t>
      </w:r>
      <w:bookmarkEnd w:id="1044"/>
      <w:bookmarkEnd w:id="1045"/>
      <w:bookmarkEnd w:id="1046"/>
      <w:bookmarkEnd w:id="1047"/>
      <w:bookmarkEnd w:id="1048"/>
      <w:bookmarkEnd w:id="1049"/>
      <w:bookmarkEnd w:id="1050"/>
    </w:p>
    <w:p>
      <w:pPr>
        <w:bidi w:val="0"/>
        <w:rPr>
          <w:rFonts w:ascii="Times New Roman" w:hAnsi="Times New Roman" w:eastAsia="宋体" w:cs="Times New Roman"/>
          <w:caps w:val="0"/>
          <w:smallCaps w:val="0"/>
          <w:color w:val="auto"/>
          <w:spacing w:val="0"/>
          <w:w w:val="99"/>
          <w:position w:val="0"/>
          <w:highlight w:val="none"/>
        </w:rPr>
      </w:pPr>
      <w:r>
        <w:rPr>
          <w:color w:val="auto"/>
          <w:highlight w:val="none"/>
        </w:rPr>
        <w:t>本项目位于</w:t>
      </w:r>
      <w:r>
        <w:rPr>
          <w:rFonts w:hint="eastAsia"/>
          <w:color w:val="auto"/>
          <w:highlight w:val="none"/>
          <w:lang w:eastAsia="zh-CN"/>
        </w:rPr>
        <w:t>黑龙江大同经济开发区纸业园区</w:t>
      </w:r>
      <w:r>
        <w:rPr>
          <w:color w:val="auto"/>
          <w:highlight w:val="none"/>
        </w:rPr>
        <w:t>，</w:t>
      </w:r>
      <w:r>
        <w:rPr>
          <w:rFonts w:hint="eastAsia"/>
          <w:color w:val="auto"/>
          <w:highlight w:val="none"/>
          <w:lang w:eastAsia="zh-CN"/>
        </w:rPr>
        <w:t>利用本项目原有厂址进行改建</w:t>
      </w:r>
      <w:r>
        <w:rPr>
          <w:color w:val="auto"/>
          <w:highlight w:val="none"/>
        </w:rPr>
        <w:t>，项目东侧</w:t>
      </w:r>
      <w:r>
        <w:rPr>
          <w:rFonts w:hint="eastAsia"/>
          <w:color w:val="auto"/>
          <w:highlight w:val="none"/>
          <w:lang w:eastAsia="zh-CN"/>
        </w:rPr>
        <w:t>为大庆宏亚纸业有限公司</w:t>
      </w:r>
      <w:r>
        <w:rPr>
          <w:color w:val="auto"/>
          <w:highlight w:val="none"/>
        </w:rPr>
        <w:t>、西侧</w:t>
      </w:r>
      <w:r>
        <w:rPr>
          <w:rFonts w:hint="eastAsia"/>
          <w:color w:val="auto"/>
          <w:highlight w:val="none"/>
          <w:lang w:eastAsia="zh-CN"/>
        </w:rPr>
        <w:t>为</w:t>
      </w:r>
      <w:r>
        <w:rPr>
          <w:rFonts w:hint="eastAsia"/>
          <w:color w:val="auto"/>
          <w:highlight w:val="none"/>
        </w:rPr>
        <w:t>福庆纸业</w:t>
      </w:r>
      <w:r>
        <w:rPr>
          <w:rFonts w:hint="eastAsia"/>
          <w:color w:val="auto"/>
          <w:highlight w:val="none"/>
          <w:lang w:eastAsia="zh-CN"/>
        </w:rPr>
        <w:t>有限公司</w:t>
      </w:r>
      <w:r>
        <w:rPr>
          <w:color w:val="auto"/>
          <w:highlight w:val="none"/>
        </w:rPr>
        <w:t>，北侧为</w:t>
      </w:r>
      <w:r>
        <w:rPr>
          <w:rFonts w:hint="eastAsia"/>
          <w:color w:val="auto"/>
          <w:highlight w:val="none"/>
        </w:rPr>
        <w:t>德昌伟业</w:t>
      </w:r>
      <w:r>
        <w:rPr>
          <w:rFonts w:hint="eastAsia"/>
          <w:color w:val="auto"/>
          <w:highlight w:val="none"/>
          <w:lang w:eastAsia="zh-CN"/>
        </w:rPr>
        <w:t>化工有限公司</w:t>
      </w:r>
      <w:r>
        <w:rPr>
          <w:color w:val="auto"/>
          <w:highlight w:val="none"/>
        </w:rPr>
        <w:t>，南侧为空地。厂界外200m范围内无敏感目标，故本次预测针主要预测厂界噪声等效声级。</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bookmarkStart w:id="1051" w:name="_Toc15001"/>
      <w:bookmarkStart w:id="1052" w:name="_Toc6088"/>
      <w:bookmarkStart w:id="1053" w:name="_Toc4665"/>
      <w:bookmarkStart w:id="1054" w:name="_Toc5046"/>
      <w:bookmarkStart w:id="1055" w:name="_Toc467"/>
      <w:bookmarkStart w:id="1056" w:name="_Toc3320"/>
      <w:bookmarkStart w:id="1057" w:name="_Toc12289"/>
      <w:r>
        <w:rPr>
          <w:b/>
          <w:bCs/>
          <w:color w:val="auto"/>
          <w:highlight w:val="none"/>
        </w:rPr>
        <w:t>5.2.3.2噪声源情况</w:t>
      </w:r>
      <w:bookmarkEnd w:id="1051"/>
      <w:bookmarkEnd w:id="1052"/>
      <w:bookmarkEnd w:id="1053"/>
      <w:bookmarkEnd w:id="1054"/>
      <w:bookmarkEnd w:id="1055"/>
      <w:bookmarkEnd w:id="1056"/>
      <w:bookmarkEnd w:id="1057"/>
    </w:p>
    <w:p>
      <w:pPr>
        <w:bidi w:val="0"/>
        <w:rPr>
          <w:rFonts w:ascii="Times New Roman" w:hAnsi="Times New Roman" w:eastAsia="宋体" w:cs="Times New Roman"/>
          <w:caps w:val="0"/>
          <w:smallCaps w:val="0"/>
          <w:color w:val="auto"/>
          <w:spacing w:val="0"/>
          <w:w w:val="100"/>
          <w:position w:val="0"/>
          <w:sz w:val="24"/>
          <w:highlight w:val="none"/>
        </w:rPr>
      </w:pPr>
      <w:r>
        <w:rPr>
          <w:color w:val="auto"/>
          <w:w w:val="100"/>
          <w:sz w:val="24"/>
          <w:highlight w:val="none"/>
        </w:rPr>
        <w:t>本项目噪声污染源主要为生产车间的碎浆机、磨浆机、锅炉房风机等设备，其噪声源强在70-100dB</w:t>
      </w:r>
      <w:r>
        <w:rPr>
          <w:rFonts w:hint="eastAsia"/>
          <w:color w:val="auto"/>
          <w:w w:val="100"/>
          <w:sz w:val="24"/>
          <w:highlight w:val="none"/>
          <w:lang w:eastAsia="zh-CN"/>
        </w:rPr>
        <w:t>（</w:t>
      </w:r>
      <w:r>
        <w:rPr>
          <w:color w:val="auto"/>
          <w:w w:val="100"/>
          <w:sz w:val="24"/>
          <w:highlight w:val="none"/>
        </w:rPr>
        <w:t>A）间，为了减轻各类噪声对工人操作环境和周围声环境影响，需采取措施，见表</w:t>
      </w:r>
      <w:r>
        <w:rPr>
          <w:rFonts w:hint="eastAsia"/>
          <w:color w:val="auto"/>
          <w:w w:val="100"/>
          <w:sz w:val="24"/>
          <w:highlight w:val="none"/>
          <w:lang w:val="en-US" w:eastAsia="zh-CN"/>
        </w:rPr>
        <w:t>5.2.3.2-1</w:t>
      </w:r>
      <w:r>
        <w:rPr>
          <w:color w:val="auto"/>
          <w:w w:val="100"/>
          <w:sz w:val="24"/>
          <w:highlight w:val="none"/>
        </w:rPr>
        <w:t>。</w:t>
      </w:r>
    </w:p>
    <w:p>
      <w:pPr>
        <w:bidi w:val="0"/>
        <w:ind w:firstLine="1028"/>
        <w:rPr>
          <w:rFonts w:ascii="Times New Roman" w:hAnsi="Times New Roman" w:eastAsia="宋体" w:cs="Times New Roman"/>
          <w:color w:val="auto"/>
          <w:w w:val="100"/>
          <w:sz w:val="24"/>
          <w:highlight w:val="none"/>
        </w:rPr>
      </w:pPr>
      <w:r>
        <w:rPr>
          <w:rFonts w:ascii="Times New Roman" w:hAnsi="Times New Roman" w:eastAsia="宋体" w:cs="Times New Roman"/>
          <w:color w:val="auto"/>
          <w:w w:val="100"/>
          <w:sz w:val="24"/>
          <w:highlight w:val="none"/>
        </w:rPr>
        <w:t>表</w:t>
      </w:r>
      <w:r>
        <w:rPr>
          <w:rFonts w:hint="eastAsia" w:cs="Times New Roman"/>
          <w:color w:val="auto"/>
          <w:w w:val="100"/>
          <w:sz w:val="24"/>
          <w:highlight w:val="none"/>
          <w:lang w:val="en-US" w:eastAsia="zh-CN"/>
        </w:rPr>
        <w:t>5.2.3.2-</w:t>
      </w:r>
      <w:r>
        <w:rPr>
          <w:rFonts w:hint="eastAsia" w:ascii="Times New Roman" w:hAnsi="Times New Roman" w:eastAsia="宋体" w:cs="Times New Roman"/>
          <w:color w:val="auto"/>
          <w:w w:val="100"/>
          <w:sz w:val="24"/>
          <w:highlight w:val="none"/>
          <w:lang w:val="en-US" w:eastAsia="zh-CN"/>
        </w:rPr>
        <w:t>1</w:t>
      </w:r>
      <w:r>
        <w:rPr>
          <w:rFonts w:ascii="Times New Roman" w:hAnsi="Times New Roman" w:eastAsia="宋体" w:cs="Times New Roman"/>
          <w:color w:val="auto"/>
          <w:w w:val="100"/>
          <w:sz w:val="24"/>
          <w:highlight w:val="none"/>
        </w:rPr>
        <w:t xml:space="preserve">  </w:t>
      </w:r>
      <w:r>
        <w:rPr>
          <w:rFonts w:hint="eastAsia" w:ascii="Times New Roman" w:hAnsi="Times New Roman" w:eastAsia="宋体" w:cs="Times New Roman"/>
          <w:color w:val="auto"/>
          <w:w w:val="100"/>
          <w:sz w:val="24"/>
          <w:highlight w:val="none"/>
          <w:lang w:val="en-US" w:eastAsia="zh-CN"/>
        </w:rPr>
        <w:t xml:space="preserve">              </w:t>
      </w:r>
      <w:r>
        <w:rPr>
          <w:rFonts w:ascii="Times New Roman" w:hAnsi="Times New Roman" w:eastAsia="宋体" w:cs="Times New Roman"/>
          <w:color w:val="auto"/>
          <w:w w:val="100"/>
          <w:sz w:val="24"/>
          <w:highlight w:val="none"/>
        </w:rPr>
        <w:t xml:space="preserve"> 噪声源及控制措施</w:t>
      </w:r>
    </w:p>
    <w:tbl>
      <w:tblPr>
        <w:tblStyle w:val="23"/>
        <w:tblW w:w="851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346"/>
        <w:gridCol w:w="3109"/>
        <w:gridCol w:w="16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240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噪声源</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设备名称）</w:t>
            </w:r>
          </w:p>
        </w:tc>
        <w:tc>
          <w:tcPr>
            <w:tcW w:w="134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声源强dB</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A）</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治理措施</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降噪效果dB</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15m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高浓度水利碎浆机</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5m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高浓度水利碎浆机</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1.2m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压力筛</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70-75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0.6m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压力筛</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基础减震、设置在密封的房间</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43</w:t>
            </w:r>
            <w:r>
              <w:rPr>
                <w:rFonts w:hint="eastAsia" w:ascii="Times New Roman" w:hAnsi="Times New Roman" w:eastAsia="宋体" w:cs="Times New Roman"/>
                <w:color w:val="auto"/>
                <w:w w:val="100"/>
                <w:sz w:val="21"/>
                <w:highlight w:val="none"/>
              </w:rPr>
              <w:t>跳筛</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70-75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23</w:t>
            </w:r>
            <w:r>
              <w:rPr>
                <w:rFonts w:hint="eastAsia" w:ascii="Times New Roman" w:hAnsi="Times New Roman" w:eastAsia="宋体" w:cs="Times New Roman"/>
                <w:color w:val="auto"/>
                <w:w w:val="100"/>
                <w:sz w:val="21"/>
                <w:highlight w:val="none"/>
              </w:rPr>
              <w:t>跳筛</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斜筛</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浆泵</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木粉筛选机</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离心泵</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450</w:t>
            </w:r>
            <w:r>
              <w:rPr>
                <w:rFonts w:hint="eastAsia" w:ascii="Times New Roman" w:hAnsi="Times New Roman" w:eastAsia="宋体" w:cs="Times New Roman"/>
                <w:color w:val="auto"/>
                <w:w w:val="100"/>
                <w:sz w:val="21"/>
                <w:highlight w:val="none"/>
              </w:rPr>
              <w:t>双盘磨浆机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75-85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3600mm平板纸纸机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切纸机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卷纸机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生物质蒸汽</w:t>
            </w:r>
            <w:r>
              <w:rPr>
                <w:rFonts w:ascii="Times New Roman" w:hAnsi="Times New Roman" w:eastAsia="宋体" w:cs="Times New Roman"/>
                <w:color w:val="auto"/>
                <w:w w:val="100"/>
                <w:sz w:val="21"/>
                <w:highlight w:val="none"/>
              </w:rPr>
              <w:t>锅炉</w:t>
            </w:r>
          </w:p>
        </w:tc>
        <w:tc>
          <w:tcPr>
            <w:tcW w:w="134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引风机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鼓风机</w:t>
            </w:r>
          </w:p>
        </w:tc>
        <w:tc>
          <w:tcPr>
            <w:tcW w:w="134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10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基础减震、设置在密闭的房间内</w:t>
            </w:r>
          </w:p>
        </w:tc>
        <w:tc>
          <w:tcPr>
            <w:tcW w:w="165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bl>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outlineLvl w:val="9"/>
        <w:rPr>
          <w:rFonts w:ascii="Times New Roman" w:hAnsi="Times New Roman" w:cs="Times New Roman"/>
          <w:b/>
          <w:bCs/>
          <w:color w:val="auto"/>
          <w:highlight w:val="none"/>
        </w:rPr>
      </w:pPr>
      <w:bookmarkStart w:id="1058" w:name="_Toc14028"/>
      <w:bookmarkStart w:id="1059" w:name="_Toc29750"/>
      <w:bookmarkStart w:id="1060" w:name="_Toc20111"/>
      <w:bookmarkStart w:id="1061" w:name="_Toc31997"/>
      <w:bookmarkStart w:id="1062" w:name="_Toc26550"/>
      <w:bookmarkStart w:id="1063" w:name="_Toc27470"/>
      <w:bookmarkStart w:id="1064" w:name="_Toc3180"/>
      <w:r>
        <w:rPr>
          <w:rFonts w:ascii="Times New Roman" w:hAnsi="Times New Roman" w:cs="Times New Roman"/>
          <w:b/>
          <w:bCs/>
          <w:color w:val="auto"/>
          <w:highlight w:val="none"/>
        </w:rPr>
        <w:t>5.2.3.3预测模式</w:t>
      </w:r>
      <w:bookmarkEnd w:id="1058"/>
      <w:bookmarkEnd w:id="1059"/>
      <w:bookmarkEnd w:id="1060"/>
      <w:bookmarkEnd w:id="1061"/>
      <w:bookmarkEnd w:id="1062"/>
      <w:bookmarkEnd w:id="1063"/>
      <w:bookmarkEnd w:id="1064"/>
    </w:p>
    <w:p>
      <w:pPr>
        <w:bidi w:val="0"/>
        <w:rPr>
          <w:color w:val="auto"/>
          <w:highlight w:val="none"/>
        </w:rPr>
      </w:pPr>
      <w:r>
        <w:rPr>
          <w:color w:val="auto"/>
          <w:highlight w:val="none"/>
        </w:rPr>
        <w:t>预测模式选用《环境影响评价技术导则—声环境》</w:t>
      </w:r>
      <w:r>
        <w:rPr>
          <w:rFonts w:hint="eastAsia"/>
          <w:color w:val="auto"/>
          <w:highlight w:val="none"/>
          <w:lang w:eastAsia="zh-CN"/>
        </w:rPr>
        <w:t>（</w:t>
      </w:r>
      <w:r>
        <w:rPr>
          <w:color w:val="auto"/>
          <w:highlight w:val="none"/>
        </w:rPr>
        <w:t>HJ/T2.4-2009）推荐的模式，其数学表达式如下：</w:t>
      </w:r>
    </w:p>
    <w:p>
      <w:pPr>
        <w:bidi w:val="0"/>
        <w:rPr>
          <w:color w:val="auto"/>
          <w:highlight w:val="none"/>
        </w:rPr>
      </w:pPr>
      <w:r>
        <w:rPr>
          <w:color w:val="auto"/>
          <w:highlight w:val="none"/>
        </w:rPr>
        <w:t>单个噪声源预测公式：</w:t>
      </w:r>
    </w:p>
    <w:p>
      <w:pPr>
        <w:pageBreakBefore w:val="0"/>
        <w:tabs>
          <w:tab w:val="left" w:pos="720"/>
        </w:tabs>
        <w:kinsoku/>
        <w:wordWrap/>
        <w:overflowPunct/>
        <w:autoSpaceDE/>
        <w:autoSpaceDN/>
        <w:bidi w:val="0"/>
        <w:adjustRightInd/>
        <w:snapToGrid/>
        <w:spacing w:line="500" w:lineRule="exact"/>
        <w:ind w:left="0" w:firstLine="2014" w:firstLineChars="850"/>
        <w:textAlignment w:val="auto"/>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object>
          <v:shape id="_x0000_i1026" o:spt="75" type="#_x0000_t75" style="height:19pt;width:220pt;" o:ole="t" fillcolor="#6D6D6D" filled="f" o:preferrelative="t" stroked="f" coordsize="21600,21600">
            <v:path/>
            <v:fill on="f" focussize="0,0"/>
            <v:stroke on="f"/>
            <v:imagedata r:id="rId55" o:title=""/>
            <o:lock v:ext="edit" grouping="f" rotation="f" text="f" aspectratio="t"/>
            <w10:wrap type="none"/>
            <w10:anchorlock/>
          </v:shape>
          <o:OLEObject Type="Embed" ProgID="Equation.3" ShapeID="_x0000_i1026" DrawAspect="Content" ObjectID="_1468075726" r:id="rId54">
            <o:LockedField>false</o:LockedField>
          </o:OLEObject>
        </w:object>
      </w:r>
    </w:p>
    <w:p>
      <w:pPr>
        <w:pageBreakBefore w:val="0"/>
        <w:tabs>
          <w:tab w:val="left" w:pos="720"/>
        </w:tabs>
        <w:kinsoku/>
        <w:wordWrap/>
        <w:overflowPunct/>
        <w:autoSpaceDE/>
        <w:autoSpaceDN/>
        <w:bidi w:val="0"/>
        <w:adjustRightInd/>
        <w:snapToGrid/>
        <w:spacing w:line="500" w:lineRule="exact"/>
        <w:ind w:left="0" w:firstLine="474" w:firstLineChars="200"/>
        <w:textAlignment w:val="auto"/>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t>两个以上的多个噪声源同时存在时，总声级计算公式：</w:t>
      </w:r>
    </w:p>
    <w:p>
      <w:pPr>
        <w:pStyle w:val="22"/>
        <w:pageBreakBefore w:val="0"/>
        <w:kinsoku/>
        <w:wordWrap/>
        <w:overflowPunct/>
        <w:autoSpaceDE/>
        <w:autoSpaceDN/>
        <w:bidi w:val="0"/>
        <w:adjustRightInd/>
        <w:snapToGrid/>
        <w:spacing w:after="0" w:line="240" w:lineRule="auto"/>
        <w:ind w:left="0" w:firstLine="474" w:firstLineChars="200"/>
        <w:textAlignment w:val="auto"/>
        <w:rPr>
          <w:rFonts w:ascii="Times New Roman" w:hAnsi="Times New Roman" w:eastAsia="宋体" w:cs="Times New Roman"/>
          <w:caps w:val="0"/>
          <w:smallCaps w:val="0"/>
          <w:color w:val="auto"/>
          <w:spacing w:val="0"/>
          <w:w w:val="99"/>
          <w:position w:val="0"/>
          <w:sz w:val="24"/>
          <w:highlight w:val="none"/>
        </w:rPr>
      </w:pPr>
      <w:r>
        <w:rPr>
          <w:rFonts w:ascii="Times New Roman" w:hAnsi="Times New Roman" w:eastAsia="宋体" w:cs="Times New Roman"/>
          <w:caps w:val="0"/>
          <w:smallCaps w:val="0"/>
          <w:color w:val="auto"/>
          <w:spacing w:val="0"/>
          <w:w w:val="99"/>
          <w:position w:val="0"/>
          <w:sz w:val="24"/>
          <w:highlight w:val="none"/>
        </w:rPr>
        <w:drawing>
          <wp:inline distT="0" distB="0" distL="114300" distR="114300">
            <wp:extent cx="1424940" cy="434340"/>
            <wp:effectExtent l="0" t="0" r="3810" b="3175"/>
            <wp:docPr id="42" name="图片 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descr="11"/>
                    <pic:cNvPicPr>
                      <a:picLocks noChangeAspect="1"/>
                    </pic:cNvPicPr>
                  </pic:nvPicPr>
                  <pic:blipFill>
                    <a:blip r:embed="rId56"/>
                    <a:stretch>
                      <a:fillRect/>
                    </a:stretch>
                  </pic:blipFill>
                  <pic:spPr>
                    <a:xfrm>
                      <a:off x="0" y="0"/>
                      <a:ext cx="1424940" cy="434340"/>
                    </a:xfrm>
                    <a:prstGeom prst="rect">
                      <a:avLst/>
                    </a:prstGeom>
                    <a:noFill/>
                    <a:ln>
                      <a:noFill/>
                    </a:ln>
                  </pic:spPr>
                </pic:pic>
              </a:graphicData>
            </a:graphic>
          </wp:inline>
        </w:drawing>
      </w:r>
    </w:p>
    <w:p>
      <w:pPr>
        <w:bidi w:val="0"/>
        <w:rPr>
          <w:color w:val="auto"/>
          <w:highlight w:val="none"/>
        </w:rPr>
      </w:pPr>
      <w:r>
        <w:rPr>
          <w:color w:val="auto"/>
          <w:highlight w:val="none"/>
        </w:rPr>
        <w:t>式中：r—预测点到声源的距离，m；</w:t>
      </w:r>
    </w:p>
    <w:p>
      <w:pPr>
        <w:bidi w:val="0"/>
        <w:rPr>
          <w:color w:val="auto"/>
          <w:highlight w:val="none"/>
        </w:rPr>
      </w:pPr>
      <w:r>
        <w:rPr>
          <w:color w:val="auto"/>
          <w:highlight w:val="none"/>
        </w:rPr>
        <w:t>A</w:t>
      </w:r>
      <w:r>
        <w:rPr>
          <w:color w:val="auto"/>
          <w:highlight w:val="none"/>
          <w:vertAlign w:val="subscript"/>
        </w:rPr>
        <w:t>div</w:t>
      </w:r>
      <w:r>
        <w:rPr>
          <w:color w:val="auto"/>
          <w:highlight w:val="none"/>
        </w:rPr>
        <w:t>—距离衰减，dB；A</w:t>
      </w:r>
      <w:r>
        <w:rPr>
          <w:color w:val="auto"/>
          <w:highlight w:val="none"/>
          <w:vertAlign w:val="subscript"/>
        </w:rPr>
        <w:t>bar</w:t>
      </w:r>
      <w:r>
        <w:rPr>
          <w:color w:val="auto"/>
          <w:highlight w:val="none"/>
        </w:rPr>
        <w:t>—</w:t>
      </w:r>
      <w:r>
        <w:rPr>
          <w:rFonts w:hint="eastAsia"/>
          <w:color w:val="auto"/>
          <w:highlight w:val="none"/>
          <w:lang w:eastAsia="zh-CN"/>
        </w:rPr>
        <w:t>遮挡</w:t>
      </w:r>
      <w:r>
        <w:rPr>
          <w:color w:val="auto"/>
          <w:highlight w:val="none"/>
        </w:rPr>
        <w:t>物衰减，dB；</w:t>
      </w:r>
    </w:p>
    <w:p>
      <w:pPr>
        <w:bidi w:val="0"/>
        <w:rPr>
          <w:color w:val="auto"/>
          <w:highlight w:val="none"/>
        </w:rPr>
      </w:pPr>
      <w:r>
        <w:rPr>
          <w:color w:val="auto"/>
          <w:highlight w:val="none"/>
        </w:rPr>
        <w:t>A</w:t>
      </w:r>
      <w:r>
        <w:rPr>
          <w:color w:val="auto"/>
          <w:highlight w:val="none"/>
          <w:vertAlign w:val="subscript"/>
        </w:rPr>
        <w:t>atm</w:t>
      </w:r>
      <w:r>
        <w:rPr>
          <w:color w:val="auto"/>
          <w:highlight w:val="none"/>
        </w:rPr>
        <w:t>—空气吸收衰减，dB；A</w:t>
      </w:r>
      <w:r>
        <w:rPr>
          <w:color w:val="auto"/>
          <w:highlight w:val="none"/>
          <w:vertAlign w:val="subscript"/>
        </w:rPr>
        <w:t>exc</w:t>
      </w:r>
      <w:r>
        <w:rPr>
          <w:color w:val="auto"/>
          <w:highlight w:val="none"/>
        </w:rPr>
        <w:t>—附加衰减，dB。</w:t>
      </w:r>
    </w:p>
    <w:p>
      <w:pPr>
        <w:bidi w:val="0"/>
        <w:rPr>
          <w:rFonts w:ascii="Times New Roman" w:hAnsi="Times New Roman" w:eastAsia="宋体" w:cs="Times New Roman"/>
          <w:caps w:val="0"/>
          <w:smallCaps w:val="0"/>
          <w:color w:val="auto"/>
          <w:spacing w:val="0"/>
          <w:w w:val="99"/>
          <w:position w:val="0"/>
          <w:highlight w:val="none"/>
        </w:rPr>
      </w:pPr>
      <w:r>
        <w:rPr>
          <w:color w:val="auto"/>
          <w:highlight w:val="none"/>
        </w:rPr>
        <w:t>距离衰减A</w:t>
      </w:r>
      <w:r>
        <w:rPr>
          <w:color w:val="auto"/>
          <w:highlight w:val="none"/>
          <w:vertAlign w:val="subscript"/>
        </w:rPr>
        <w:t>div</w:t>
      </w:r>
      <w:r>
        <w:rPr>
          <w:color w:val="auto"/>
          <w:highlight w:val="none"/>
        </w:rPr>
        <w:t>、</w:t>
      </w:r>
      <w:r>
        <w:rPr>
          <w:rFonts w:hint="eastAsia"/>
          <w:color w:val="auto"/>
          <w:highlight w:val="none"/>
          <w:lang w:eastAsia="zh-CN"/>
        </w:rPr>
        <w:t>遮挡</w:t>
      </w:r>
      <w:r>
        <w:rPr>
          <w:color w:val="auto"/>
          <w:highlight w:val="none"/>
        </w:rPr>
        <w:t>物衰减A</w:t>
      </w:r>
      <w:r>
        <w:rPr>
          <w:color w:val="auto"/>
          <w:highlight w:val="none"/>
          <w:vertAlign w:val="subscript"/>
        </w:rPr>
        <w:t>bar</w:t>
      </w:r>
      <w:r>
        <w:rPr>
          <w:color w:val="auto"/>
          <w:highlight w:val="none"/>
        </w:rPr>
        <w:t>、空气吸收衰减A</w:t>
      </w:r>
      <w:r>
        <w:rPr>
          <w:color w:val="auto"/>
          <w:highlight w:val="none"/>
          <w:vertAlign w:val="subscript"/>
        </w:rPr>
        <w:t>atm</w:t>
      </w:r>
      <w:r>
        <w:rPr>
          <w:color w:val="auto"/>
          <w:highlight w:val="none"/>
        </w:rPr>
        <w:t>、附加衰减A</w:t>
      </w:r>
      <w:r>
        <w:rPr>
          <w:color w:val="auto"/>
          <w:highlight w:val="none"/>
          <w:vertAlign w:val="subscript"/>
        </w:rPr>
        <w:t>exc</w:t>
      </w:r>
      <w:r>
        <w:rPr>
          <w:color w:val="auto"/>
          <w:highlight w:val="none"/>
        </w:rPr>
        <w:t>均按环境影响评价技术导则—声环境》</w:t>
      </w:r>
      <w:r>
        <w:rPr>
          <w:rFonts w:hint="eastAsia"/>
          <w:color w:val="auto"/>
          <w:highlight w:val="none"/>
          <w:lang w:eastAsia="zh-CN"/>
        </w:rPr>
        <w:t>（</w:t>
      </w:r>
      <w:r>
        <w:rPr>
          <w:color w:val="auto"/>
          <w:highlight w:val="none"/>
        </w:rPr>
        <w:t>HJ/T2.4-2009）推荐的公式计算。</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bookmarkStart w:id="1065" w:name="_Toc60"/>
      <w:bookmarkStart w:id="1066" w:name="_Toc3148"/>
      <w:bookmarkStart w:id="1067" w:name="_Toc13614"/>
      <w:bookmarkStart w:id="1068" w:name="_Toc7050"/>
      <w:bookmarkStart w:id="1069" w:name="_Toc216"/>
      <w:bookmarkStart w:id="1070" w:name="_Toc11401"/>
      <w:bookmarkStart w:id="1071" w:name="_Toc16601"/>
      <w:r>
        <w:rPr>
          <w:b/>
          <w:bCs/>
          <w:color w:val="auto"/>
          <w:highlight w:val="none"/>
        </w:rPr>
        <w:t>5.2.3.4预测结果及评价</w:t>
      </w:r>
      <w:bookmarkEnd w:id="1065"/>
      <w:bookmarkEnd w:id="1066"/>
      <w:bookmarkEnd w:id="1067"/>
      <w:bookmarkEnd w:id="1068"/>
      <w:bookmarkEnd w:id="1069"/>
      <w:bookmarkEnd w:id="1070"/>
      <w:bookmarkEnd w:id="1071"/>
    </w:p>
    <w:p>
      <w:pPr>
        <w:bidi w:val="0"/>
        <w:rPr>
          <w:color w:val="auto"/>
          <w:highlight w:val="none"/>
        </w:rPr>
      </w:pPr>
      <w:r>
        <w:rPr>
          <w:color w:val="auto"/>
          <w:highlight w:val="none"/>
        </w:rPr>
        <w:t>选取本项目主要噪声设备作为点源，采用多源叠加的方法</w:t>
      </w:r>
      <w:r>
        <w:rPr>
          <w:rFonts w:hint="eastAsia"/>
          <w:color w:val="auto"/>
          <w:highlight w:val="none"/>
          <w:lang w:eastAsia="zh-CN"/>
        </w:rPr>
        <w:t>做出</w:t>
      </w:r>
      <w:r>
        <w:rPr>
          <w:color w:val="auto"/>
          <w:highlight w:val="none"/>
        </w:rPr>
        <w:t>厂界噪声值预测，预测结果见图</w:t>
      </w:r>
      <w:r>
        <w:rPr>
          <w:rFonts w:hint="eastAsia"/>
          <w:color w:val="auto"/>
          <w:highlight w:val="none"/>
          <w:lang w:val="en-US" w:eastAsia="zh-CN"/>
        </w:rPr>
        <w:t>5.2.3.4-1</w:t>
      </w:r>
      <w:r>
        <w:rPr>
          <w:color w:val="auto"/>
          <w:highlight w:val="none"/>
        </w:rPr>
        <w:t>和图</w:t>
      </w:r>
      <w:r>
        <w:rPr>
          <w:rFonts w:hint="eastAsia"/>
          <w:color w:val="auto"/>
          <w:highlight w:val="none"/>
          <w:lang w:val="en-US" w:eastAsia="zh-CN"/>
        </w:rPr>
        <w:t>5.2.3.4-2</w:t>
      </w:r>
      <w:r>
        <w:rPr>
          <w:color w:val="auto"/>
          <w:highlight w:val="none"/>
        </w:rPr>
        <w:t>。</w:t>
      </w:r>
    </w:p>
    <w:p>
      <w:pPr>
        <w:pStyle w:val="22"/>
        <w:keepNext w:val="0"/>
        <w:keepLines w:val="0"/>
        <w:pageBreakBefore w:val="0"/>
        <w:widowControl w:val="0"/>
        <w:kinsoku/>
        <w:wordWrap/>
        <w:overflowPunct/>
        <w:topLinePunct w:val="0"/>
        <w:autoSpaceDE/>
        <w:autoSpaceDN/>
        <w:bidi w:val="0"/>
        <w:adjustRightInd/>
        <w:snapToGrid/>
        <w:spacing w:after="0" w:line="240" w:lineRule="auto"/>
        <w:ind w:left="0" w:firstLine="0" w:firstLineChars="0"/>
        <w:jc w:val="center"/>
        <w:textAlignment w:val="auto"/>
        <w:rPr>
          <w:color w:val="auto"/>
          <w:highlight w:val="none"/>
        </w:rPr>
      </w:pPr>
      <w:r>
        <w:rPr>
          <w:color w:val="auto"/>
          <w:highlight w:val="none"/>
        </w:rPr>
        <w:drawing>
          <wp:inline distT="0" distB="0" distL="114300" distR="114300">
            <wp:extent cx="5802630" cy="1167765"/>
            <wp:effectExtent l="0" t="0" r="7620" b="13335"/>
            <wp:docPr id="43" name="图片 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descr="11"/>
                    <pic:cNvPicPr>
                      <a:picLocks noChangeAspect="1"/>
                    </pic:cNvPicPr>
                  </pic:nvPicPr>
                  <pic:blipFill>
                    <a:blip r:embed="rId57"/>
                    <a:stretch>
                      <a:fillRect/>
                    </a:stretch>
                  </pic:blipFill>
                  <pic:spPr>
                    <a:xfrm>
                      <a:off x="0" y="0"/>
                      <a:ext cx="5802630" cy="1167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cs="Times New Roman"/>
          <w:color w:val="auto"/>
          <w:highlight w:val="none"/>
        </w:rPr>
      </w:pPr>
      <w:r>
        <w:rPr>
          <w:rFonts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5.2.3.4-1</w:t>
      </w:r>
      <w:r>
        <w:rPr>
          <w:rFonts w:ascii="Times New Roman" w:hAnsi="Times New Roman" w:cs="Times New Roman"/>
          <w:color w:val="auto"/>
          <w:highlight w:val="none"/>
        </w:rPr>
        <w:t xml:space="preserve">  昼间噪声预测结果图</w:t>
      </w:r>
    </w:p>
    <w:p>
      <w:pPr>
        <w:pStyle w:val="22"/>
        <w:keepNext w:val="0"/>
        <w:keepLines w:val="0"/>
        <w:pageBreakBefore w:val="0"/>
        <w:widowControl w:val="0"/>
        <w:kinsoku/>
        <w:wordWrap/>
        <w:overflowPunct/>
        <w:topLinePunct w:val="0"/>
        <w:autoSpaceDE/>
        <w:autoSpaceDN/>
        <w:bidi w:val="0"/>
        <w:adjustRightInd/>
        <w:snapToGrid/>
        <w:spacing w:after="0" w:line="240" w:lineRule="auto"/>
        <w:ind w:left="0" w:firstLine="0" w:firstLineChars="0"/>
        <w:jc w:val="center"/>
        <w:textAlignment w:val="auto"/>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799455" cy="1231900"/>
            <wp:effectExtent l="0" t="0" r="10795" b="6350"/>
            <wp:docPr id="44" name="图片 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descr="11"/>
                    <pic:cNvPicPr>
                      <a:picLocks noChangeAspect="1"/>
                    </pic:cNvPicPr>
                  </pic:nvPicPr>
                  <pic:blipFill>
                    <a:blip r:embed="rId58"/>
                    <a:stretch>
                      <a:fillRect/>
                    </a:stretch>
                  </pic:blipFill>
                  <pic:spPr>
                    <a:xfrm>
                      <a:off x="0" y="0"/>
                      <a:ext cx="5799455" cy="12319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cs="Times New Roman"/>
          <w:color w:val="auto"/>
          <w:highlight w:val="none"/>
        </w:rPr>
      </w:pPr>
      <w:r>
        <w:rPr>
          <w:rFonts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 xml:space="preserve">5.2.3.4-2  </w:t>
      </w:r>
      <w:r>
        <w:rPr>
          <w:rFonts w:ascii="Times New Roman" w:hAnsi="Times New Roman" w:cs="Times New Roman"/>
          <w:color w:val="auto"/>
          <w:highlight w:val="none"/>
        </w:rPr>
        <w:t>夜间噪声预测结果图</w:t>
      </w:r>
    </w:p>
    <w:p>
      <w:pPr>
        <w:bidi w:val="0"/>
        <w:rPr>
          <w:rFonts w:ascii="Times New Roman" w:hAnsi="Times New Roman" w:cs="Times New Roman"/>
          <w:color w:val="auto"/>
          <w:highlight w:val="none"/>
        </w:rPr>
      </w:pPr>
      <w:r>
        <w:rPr>
          <w:rFonts w:ascii="Times New Roman" w:hAnsi="Times New Roman" w:cs="Times New Roman"/>
          <w:color w:val="auto"/>
          <w:highlight w:val="none"/>
        </w:rPr>
        <w:t>由上表可知，噪声源采取减震、车间封闭等措施后，昼间叠加值在52.37-53.58dB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A）之间，夜间叠加值在42.39-44.32dB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A）之间，贡献值在27.24-39.20dB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A）之间，厂界噪声满足《工业企业厂界环境噪声排放标准》</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GB12348-2008）表1中</w:t>
      </w:r>
      <w:r>
        <w:rPr>
          <w:rFonts w:hint="eastAsia" w:cs="Times New Roman"/>
          <w:color w:val="auto"/>
          <w:highlight w:val="none"/>
          <w:lang w:val="en-US" w:eastAsia="zh-CN"/>
        </w:rPr>
        <w:t>3</w:t>
      </w:r>
      <w:r>
        <w:rPr>
          <w:rFonts w:ascii="Times New Roman" w:hAnsi="Times New Roman" w:cs="Times New Roman"/>
          <w:color w:val="auto"/>
          <w:highlight w:val="none"/>
        </w:rPr>
        <w:t>类标准：昼间6</w:t>
      </w:r>
      <w:r>
        <w:rPr>
          <w:rFonts w:hint="eastAsia" w:cs="Times New Roman"/>
          <w:color w:val="auto"/>
          <w:highlight w:val="none"/>
          <w:lang w:val="en-US" w:eastAsia="zh-CN"/>
        </w:rPr>
        <w:t>5</w:t>
      </w:r>
      <w:r>
        <w:rPr>
          <w:rFonts w:ascii="Times New Roman" w:hAnsi="Times New Roman" w:cs="Times New Roman"/>
          <w:color w:val="auto"/>
          <w:highlight w:val="none"/>
        </w:rPr>
        <w:t>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，夜间5</w:t>
      </w:r>
      <w:r>
        <w:rPr>
          <w:rFonts w:hint="eastAsia" w:cs="Times New Roman"/>
          <w:color w:val="auto"/>
          <w:highlight w:val="none"/>
          <w:lang w:val="en-US" w:eastAsia="zh-CN"/>
        </w:rPr>
        <w:t>5</w:t>
      </w:r>
      <w:r>
        <w:rPr>
          <w:rFonts w:ascii="Times New Roman" w:hAnsi="Times New Roman" w:cs="Times New Roman"/>
          <w:color w:val="auto"/>
          <w:highlight w:val="none"/>
        </w:rPr>
        <w:t>dB</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，不会对周围声环境产生明显影响。</w:t>
      </w:r>
      <w:bookmarkStart w:id="1072" w:name="_Toc158875927"/>
      <w:bookmarkStart w:id="1073" w:name="_Toc27654"/>
    </w:p>
    <w:bookmarkEnd w:id="1072"/>
    <w:bookmarkEnd w:id="1073"/>
    <w:p>
      <w:pPr>
        <w:pStyle w:val="7"/>
        <w:bidi w:val="0"/>
        <w:rPr>
          <w:rFonts w:ascii="Times New Roman" w:hAnsi="Times New Roman" w:cs="Times New Roman"/>
          <w:color w:val="auto"/>
          <w:highlight w:val="none"/>
        </w:rPr>
      </w:pPr>
      <w:bookmarkStart w:id="1074" w:name="_Toc26030"/>
      <w:bookmarkStart w:id="1075" w:name="_Toc17680"/>
      <w:bookmarkStart w:id="1076" w:name="_Toc29568"/>
      <w:bookmarkStart w:id="1077" w:name="_Toc5090"/>
      <w:bookmarkStart w:id="1078" w:name="_Toc16198"/>
      <w:bookmarkStart w:id="1079" w:name="_Toc26581"/>
      <w:r>
        <w:rPr>
          <w:rFonts w:ascii="Times New Roman" w:hAnsi="Times New Roman" w:cs="Times New Roman"/>
          <w:color w:val="auto"/>
          <w:highlight w:val="none"/>
        </w:rPr>
        <w:t>5.2.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固体废物影响分析</w:t>
      </w:r>
      <w:bookmarkEnd w:id="1074"/>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w:t>
      </w:r>
      <w:r>
        <w:rPr>
          <w:rFonts w:hint="eastAsia" w:ascii="Times New Roman" w:hAnsi="Times New Roman" w:cs="Times New Roman"/>
          <w:b/>
          <w:bCs/>
          <w:color w:val="auto"/>
          <w:highlight w:val="none"/>
          <w:lang w:val="en-US" w:eastAsia="zh-CN"/>
        </w:rPr>
        <w:t>4.1</w:t>
      </w:r>
      <w:r>
        <w:rPr>
          <w:rFonts w:ascii="Times New Roman" w:hAnsi="Times New Roman" w:cs="Times New Roman"/>
          <w:b/>
          <w:bCs/>
          <w:color w:val="auto"/>
          <w:highlight w:val="none"/>
        </w:rPr>
        <w:t>固体废物分类及源强调查分析</w:t>
      </w:r>
    </w:p>
    <w:p>
      <w:pPr>
        <w:bidi w:val="0"/>
        <w:rPr>
          <w:rFonts w:hint="eastAsia" w:ascii="Times New Roman" w:hAnsi="Times New Roman" w:eastAsia="宋体" w:cs="Times New Roman"/>
          <w:color w:val="auto"/>
          <w:highlight w:val="none"/>
          <w:lang w:eastAsia="zh-CN"/>
        </w:rPr>
      </w:pPr>
      <w:r>
        <w:rPr>
          <w:rFonts w:ascii="Times New Roman" w:hAnsi="Times New Roman" w:cs="Times New Roman"/>
          <w:color w:val="auto"/>
          <w:highlight w:val="none"/>
        </w:rPr>
        <w:t>根据工程分析，本项目运营期固体废物主要为</w:t>
      </w:r>
      <w:r>
        <w:rPr>
          <w:rFonts w:hint="eastAsia" w:ascii="Times New Roman" w:cs="Times New Roman"/>
          <w:color w:val="auto"/>
          <w:highlight w:val="none"/>
          <w:lang w:val="en-US" w:eastAsia="zh-CN"/>
        </w:rPr>
        <w:t>生活垃圾、</w:t>
      </w:r>
      <w:r>
        <w:rPr>
          <w:rFonts w:hint="eastAsia" w:ascii="Times New Roman" w:hAnsi="Times New Roman" w:cs="Times New Roman"/>
          <w:color w:val="auto"/>
          <w:highlight w:val="none"/>
        </w:rPr>
        <w:t>浆料分离产生的杂质、污水处理站固体废物、燃料灰渣、锅炉炉渣和捕集到的飞灰、废离子交换树脂、废润滑油，废</w:t>
      </w:r>
      <w:r>
        <w:rPr>
          <w:rFonts w:hint="eastAsia" w:ascii="Times New Roman" w:cs="Times New Roman"/>
          <w:color w:val="auto"/>
          <w:highlight w:val="none"/>
          <w:lang w:eastAsia="zh-CN"/>
        </w:rPr>
        <w:t>活性炭。</w:t>
      </w:r>
    </w:p>
    <w:p>
      <w:pPr>
        <w:bidi w:val="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1）</w:t>
      </w:r>
      <w:r>
        <w:rPr>
          <w:rFonts w:hint="eastAsia" w:ascii="Times New Roman" w:hAnsi="Times New Roman" w:cs="Times New Roman"/>
          <w:color w:val="auto"/>
          <w:highlight w:val="none"/>
          <w:lang w:val="en-US" w:eastAsia="zh-CN"/>
        </w:rPr>
        <w:t>生活垃圾</w:t>
      </w:r>
    </w:p>
    <w:p>
      <w:pPr>
        <w:bidi w:val="0"/>
        <w:spacing w:line="50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运行期工作人员产生的生活垃圾按每人每天0.25kg计算，工作人员约15人，则每天产生生活垃圾3.75kg，每年运行330天，整个运行期工作人员生活垃圾产生量约为1.24t/a。</w:t>
      </w:r>
    </w:p>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cs="Times New Roman"/>
          <w:color w:val="auto"/>
          <w:highlight w:val="none"/>
          <w:lang w:val="en-US" w:eastAsia="zh-CN"/>
        </w:rPr>
        <w:t>2</w:t>
      </w:r>
      <w:r>
        <w:rPr>
          <w:rFonts w:ascii="Times New Roman" w:hAnsi="Times New Roman" w:cs="Times New Roman"/>
          <w:color w:val="auto"/>
          <w:highlight w:val="none"/>
        </w:rPr>
        <w:t>）危险废物</w:t>
      </w:r>
    </w:p>
    <w:p>
      <w:pPr>
        <w:bidi w:val="0"/>
        <w:rPr>
          <w:rFonts w:ascii="Times New Roman" w:hAnsi="Times New Roman" w:cs="Times New Roman"/>
          <w:color w:val="auto"/>
          <w:highlight w:val="none"/>
        </w:rPr>
      </w:pPr>
      <w:r>
        <w:rPr>
          <w:rFonts w:ascii="Times New Roman" w:hAnsi="Times New Roman" w:cs="Times New Roman"/>
          <w:color w:val="auto"/>
          <w:highlight w:val="none"/>
        </w:rPr>
        <w:t>本项目的危险废物是在生产设备检修过程产生少量</w:t>
      </w:r>
      <w:r>
        <w:rPr>
          <w:rFonts w:hint="eastAsia" w:ascii="Times New Roman" w:hAnsi="Times New Roman" w:cs="Times New Roman"/>
          <w:color w:val="auto"/>
          <w:highlight w:val="none"/>
          <w:lang w:eastAsia="zh-CN"/>
        </w:rPr>
        <w:t>废润滑油及废气治理措产生的废</w:t>
      </w:r>
      <w:r>
        <w:rPr>
          <w:rFonts w:hint="eastAsia" w:ascii="Times New Roman" w:cs="Times New Roman"/>
          <w:color w:val="auto"/>
          <w:highlight w:val="none"/>
          <w:lang w:eastAsia="zh-CN"/>
        </w:rPr>
        <w:t>活性炭</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废机油</w:t>
      </w:r>
      <w:r>
        <w:rPr>
          <w:rFonts w:ascii="Times New Roman" w:hAnsi="Times New Roman" w:cs="Times New Roman"/>
          <w:color w:val="auto"/>
          <w:highlight w:val="none"/>
        </w:rPr>
        <w:t>年产生量约0.</w:t>
      </w:r>
      <w:r>
        <w:rPr>
          <w:rFonts w:hint="eastAsia" w:ascii="Times New Roman" w:hAnsi="Times New Roman" w:cs="Times New Roman"/>
          <w:color w:val="auto"/>
          <w:highlight w:val="none"/>
          <w:lang w:val="en-US" w:eastAsia="zh-CN"/>
        </w:rPr>
        <w:t>1</w:t>
      </w:r>
      <w:r>
        <w:rPr>
          <w:rFonts w:ascii="Times New Roman" w:hAnsi="Times New Roman" w:cs="Times New Roman"/>
          <w:color w:val="auto"/>
          <w:highlight w:val="none"/>
        </w:rPr>
        <w:t>t</w:t>
      </w:r>
      <w:r>
        <w:rPr>
          <w:rFonts w:hint="eastAsia" w:ascii="Times New Roman" w:hAnsi="Times New Roman" w:cs="Times New Roman"/>
          <w:color w:val="auto"/>
          <w:highlight w:val="none"/>
          <w:lang w:eastAsia="zh-CN"/>
        </w:rPr>
        <w:t>，废</w:t>
      </w:r>
      <w:r>
        <w:rPr>
          <w:rFonts w:hint="eastAsia" w:ascii="Times New Roman" w:cs="Times New Roman"/>
          <w:color w:val="auto"/>
          <w:highlight w:val="none"/>
          <w:lang w:eastAsia="zh-CN"/>
        </w:rPr>
        <w:t>活性炭</w:t>
      </w:r>
      <w:r>
        <w:rPr>
          <w:rFonts w:hint="eastAsia" w:ascii="Times New Roman" w:hAnsi="Times New Roman" w:cs="Times New Roman"/>
          <w:color w:val="auto"/>
          <w:highlight w:val="none"/>
          <w:lang w:eastAsia="zh-CN"/>
        </w:rPr>
        <w:t>年产量约为</w:t>
      </w:r>
      <w:r>
        <w:rPr>
          <w:rFonts w:hint="eastAsia" w:cs="Times New Roman"/>
          <w:color w:val="auto"/>
          <w:highlight w:val="none"/>
          <w:lang w:val="en-US" w:eastAsia="zh-CN"/>
        </w:rPr>
        <w:t>1.2</w:t>
      </w:r>
      <w:r>
        <w:rPr>
          <w:rFonts w:hint="eastAsia" w:ascii="Times New Roman" w:hAnsi="Times New Roman" w:cs="Times New Roman"/>
          <w:color w:val="auto"/>
          <w:highlight w:val="none"/>
          <w:lang w:val="en-US" w:eastAsia="zh-CN"/>
        </w:rPr>
        <w:t>t</w:t>
      </w:r>
      <w:r>
        <w:rPr>
          <w:rFonts w:ascii="Times New Roman" w:hAnsi="Times New Roman" w:cs="Times New Roman"/>
          <w:color w:val="auto"/>
          <w:highlight w:val="none"/>
        </w:rPr>
        <w:t>，拟临时贮存在危废暂存间，委托有资质单位处置。危险废物特性见表</w:t>
      </w:r>
      <w:r>
        <w:rPr>
          <w:rFonts w:hint="eastAsia" w:ascii="Times New Roman" w:hAnsi="Times New Roman" w:cs="Times New Roman"/>
          <w:color w:val="auto"/>
          <w:highlight w:val="none"/>
          <w:lang w:val="en-US" w:eastAsia="zh-CN"/>
        </w:rPr>
        <w:t>5.2.4.1-1</w:t>
      </w:r>
      <w:r>
        <w:rPr>
          <w:rFonts w:ascii="Times New Roman" w:hAnsi="Times New Roman" w:cs="Times New Roman"/>
          <w:color w:val="auto"/>
          <w:highlight w:val="none"/>
        </w:rPr>
        <w:t>，危废暂存间基本情况见表</w:t>
      </w:r>
      <w:r>
        <w:rPr>
          <w:rFonts w:hint="eastAsia" w:ascii="Times New Roman" w:hAnsi="Times New Roman" w:cs="Times New Roman"/>
          <w:color w:val="auto"/>
          <w:highlight w:val="none"/>
          <w:lang w:val="en-US" w:eastAsia="zh-CN"/>
        </w:rPr>
        <w:t>5.2.4.1-2</w:t>
      </w:r>
      <w:r>
        <w:rPr>
          <w:rFonts w:ascii="Times New Roman" w:hAnsi="Times New Roman" w:cs="Times New Roman"/>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5.2.4.1-1</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危险废物产生情况一览表</w:t>
      </w:r>
    </w:p>
    <w:p>
      <w:pPr>
        <w:spacing w:line="38" w:lineRule="exact"/>
        <w:rPr>
          <w:rFonts w:ascii="Times New Roman" w:hAnsi="Times New Roman" w:eastAsia="宋体" w:cs="Times New Roman"/>
          <w:color w:val="auto"/>
          <w:spacing w:val="0"/>
          <w:w w:val="99"/>
          <w:position w:val="0"/>
          <w:highlight w:val="none"/>
        </w:rPr>
      </w:pPr>
    </w:p>
    <w:tbl>
      <w:tblPr>
        <w:tblStyle w:val="28"/>
        <w:tblW w:w="4996"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545"/>
        <w:gridCol w:w="923"/>
        <w:gridCol w:w="925"/>
        <w:gridCol w:w="1235"/>
        <w:gridCol w:w="926"/>
        <w:gridCol w:w="1130"/>
        <w:gridCol w:w="510"/>
        <w:gridCol w:w="823"/>
        <w:gridCol w:w="925"/>
        <w:gridCol w:w="112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30" w:hRule="atLeast"/>
        </w:trPr>
        <w:tc>
          <w:tcPr>
            <w:tcW w:w="30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序号</w:t>
            </w:r>
          </w:p>
        </w:tc>
        <w:tc>
          <w:tcPr>
            <w:tcW w:w="508"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危险废</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物名称</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危险废</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物类别</w:t>
            </w:r>
          </w:p>
        </w:tc>
        <w:tc>
          <w:tcPr>
            <w:tcW w:w="68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危险废物</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代码</w:t>
            </w:r>
          </w:p>
        </w:tc>
        <w:tc>
          <w:tcPr>
            <w:tcW w:w="51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产生量</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lang w:eastAsia="zh-CN"/>
              </w:rPr>
              <w:t>（</w:t>
            </w:r>
            <w:r>
              <w:rPr>
                <w:rFonts w:ascii="Times New Roman" w:hAnsi="Times New Roman" w:eastAsia="宋体" w:cs="Times New Roman"/>
                <w:color w:val="auto"/>
                <w:w w:val="100"/>
                <w:highlight w:val="none"/>
              </w:rPr>
              <w:t>t/a）</w:t>
            </w:r>
          </w:p>
        </w:tc>
        <w:tc>
          <w:tcPr>
            <w:tcW w:w="62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产生工序</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及装置</w:t>
            </w:r>
          </w:p>
        </w:tc>
        <w:tc>
          <w:tcPr>
            <w:tcW w:w="28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形态</w:t>
            </w:r>
          </w:p>
        </w:tc>
        <w:tc>
          <w:tcPr>
            <w:tcW w:w="453"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主要</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成分</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危险</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特性</w:t>
            </w:r>
          </w:p>
        </w:tc>
        <w:tc>
          <w:tcPr>
            <w:tcW w:w="62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污染防治</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措施</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30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1</w:t>
            </w:r>
          </w:p>
        </w:tc>
        <w:tc>
          <w:tcPr>
            <w:tcW w:w="508"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废机油</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HW08</w:t>
            </w:r>
          </w:p>
        </w:tc>
        <w:tc>
          <w:tcPr>
            <w:tcW w:w="68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900-214-08</w:t>
            </w:r>
          </w:p>
        </w:tc>
        <w:tc>
          <w:tcPr>
            <w:tcW w:w="51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ascii="Times New Roman" w:hAnsi="Times New Roman" w:eastAsia="宋体" w:cs="Times New Roman"/>
                <w:color w:val="auto"/>
                <w:w w:val="100"/>
                <w:highlight w:val="none"/>
              </w:rPr>
              <w:t>0.</w:t>
            </w:r>
            <w:r>
              <w:rPr>
                <w:rFonts w:hint="eastAsia" w:ascii="Times New Roman" w:hAnsi="Times New Roman" w:eastAsia="宋体" w:cs="Times New Roman"/>
                <w:color w:val="auto"/>
                <w:w w:val="100"/>
                <w:highlight w:val="none"/>
                <w:lang w:val="en-US" w:eastAsia="zh-CN"/>
              </w:rPr>
              <w:t>1</w:t>
            </w:r>
          </w:p>
        </w:tc>
        <w:tc>
          <w:tcPr>
            <w:tcW w:w="62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设备检修</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过程</w:t>
            </w:r>
          </w:p>
        </w:tc>
        <w:tc>
          <w:tcPr>
            <w:tcW w:w="28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液态</w:t>
            </w:r>
          </w:p>
        </w:tc>
        <w:tc>
          <w:tcPr>
            <w:tcW w:w="453"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ascii="Times New Roman" w:hAnsi="Times New Roman" w:eastAsia="宋体" w:cs="Times New Roman"/>
                <w:color w:val="auto"/>
                <w:w w:val="100"/>
                <w:highlight w:val="none"/>
              </w:rPr>
              <w:t>废</w:t>
            </w:r>
            <w:r>
              <w:rPr>
                <w:rFonts w:hint="eastAsia" w:ascii="Times New Roman" w:hAnsi="Times New Roman" w:eastAsia="宋体" w:cs="Times New Roman"/>
                <w:color w:val="auto"/>
                <w:w w:val="100"/>
                <w:highlight w:val="none"/>
                <w:lang w:eastAsia="zh-CN"/>
              </w:rPr>
              <w:t>润滑油</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毒性、</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易燃性</w:t>
            </w:r>
          </w:p>
        </w:tc>
        <w:tc>
          <w:tcPr>
            <w:tcW w:w="62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由资质单</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位处置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30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val="en-US" w:eastAsia="zh-CN"/>
              </w:rPr>
            </w:pPr>
            <w:r>
              <w:rPr>
                <w:rFonts w:hint="eastAsia" w:ascii="Times New Roman" w:hAnsi="Times New Roman" w:eastAsia="宋体" w:cs="Times New Roman"/>
                <w:color w:val="auto"/>
                <w:w w:val="100"/>
                <w:highlight w:val="none"/>
                <w:lang w:val="en-US" w:eastAsia="zh-CN"/>
              </w:rPr>
              <w:t>2</w:t>
            </w:r>
          </w:p>
        </w:tc>
        <w:tc>
          <w:tcPr>
            <w:tcW w:w="508"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w w:val="100"/>
                <w:highlight w:val="none"/>
                <w:lang w:val="en-US" w:eastAsia="zh-CN"/>
              </w:rPr>
            </w:pPr>
            <w:r>
              <w:rPr>
                <w:rFonts w:hint="eastAsia" w:ascii="Times New Roman" w:hAnsi="Times New Roman" w:eastAsia="宋体" w:cs="Times New Roman"/>
                <w:color w:val="auto"/>
                <w:w w:val="100"/>
                <w:highlight w:val="none"/>
                <w:lang w:val="en-US" w:eastAsia="zh-CN"/>
              </w:rPr>
              <w:t>废</w:t>
            </w:r>
            <w:r>
              <w:rPr>
                <w:rFonts w:hint="eastAsia" w:ascii="Times New Roman" w:cs="Times New Roman"/>
                <w:color w:val="auto"/>
                <w:w w:val="100"/>
                <w:highlight w:val="none"/>
                <w:lang w:val="en-US" w:eastAsia="zh-CN"/>
              </w:rPr>
              <w:t>活性炭</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HW49</w:t>
            </w:r>
          </w:p>
        </w:tc>
        <w:tc>
          <w:tcPr>
            <w:tcW w:w="68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900-041-49</w:t>
            </w:r>
          </w:p>
        </w:tc>
        <w:tc>
          <w:tcPr>
            <w:tcW w:w="510"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w w:val="100"/>
                <w:highlight w:val="none"/>
                <w:lang w:val="en-US" w:eastAsia="zh-CN"/>
              </w:rPr>
            </w:pPr>
            <w:r>
              <w:rPr>
                <w:rFonts w:hint="eastAsia" w:cs="Times New Roman"/>
                <w:color w:val="auto"/>
                <w:w w:val="100"/>
                <w:highlight w:val="none"/>
                <w:lang w:val="en-US" w:eastAsia="zh-CN"/>
              </w:rPr>
              <w:t>1.2</w:t>
            </w:r>
          </w:p>
        </w:tc>
        <w:tc>
          <w:tcPr>
            <w:tcW w:w="62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hint="eastAsia" w:ascii="Times New Roman" w:hAnsi="Times New Roman" w:eastAsia="宋体" w:cs="Times New Roman"/>
                <w:color w:val="auto"/>
                <w:w w:val="100"/>
                <w:highlight w:val="none"/>
                <w:lang w:eastAsia="zh-CN"/>
              </w:rPr>
              <w:t>废气治理</w:t>
            </w:r>
          </w:p>
        </w:tc>
        <w:tc>
          <w:tcPr>
            <w:tcW w:w="28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hint="eastAsia" w:ascii="Times New Roman" w:hAnsi="Times New Roman" w:eastAsia="宋体" w:cs="Times New Roman"/>
                <w:color w:val="auto"/>
                <w:w w:val="100"/>
                <w:highlight w:val="none"/>
                <w:lang w:eastAsia="zh-CN"/>
              </w:rPr>
              <w:t>固态</w:t>
            </w:r>
          </w:p>
        </w:tc>
        <w:tc>
          <w:tcPr>
            <w:tcW w:w="453"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w w:val="100"/>
                <w:highlight w:val="none"/>
                <w:lang w:val="en-US" w:eastAsia="zh-CN"/>
              </w:rPr>
            </w:pPr>
            <w:r>
              <w:rPr>
                <w:rFonts w:hint="eastAsia" w:ascii="Times New Roman" w:hAnsi="Times New Roman" w:eastAsia="宋体" w:cs="Times New Roman"/>
                <w:color w:val="auto"/>
                <w:w w:val="100"/>
                <w:highlight w:val="none"/>
                <w:lang w:val="en-US" w:eastAsia="zh-CN"/>
              </w:rPr>
              <w:t>Vocs</w:t>
            </w:r>
          </w:p>
        </w:tc>
        <w:tc>
          <w:tcPr>
            <w:tcW w:w="509"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val="en-US" w:eastAsia="zh-CN"/>
              </w:rPr>
            </w:pPr>
            <w:r>
              <w:rPr>
                <w:rFonts w:hint="eastAsia" w:ascii="Times New Roman" w:hAnsi="Times New Roman" w:eastAsia="宋体" w:cs="Times New Roman"/>
                <w:color w:val="auto"/>
                <w:w w:val="100"/>
                <w:highlight w:val="none"/>
                <w:lang w:val="en-US" w:eastAsia="zh-CN"/>
              </w:rPr>
              <w:t>T</w:t>
            </w:r>
          </w:p>
        </w:tc>
        <w:tc>
          <w:tcPr>
            <w:tcW w:w="62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由资质单</w:t>
            </w:r>
          </w:p>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位处置</w:t>
            </w: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5.2.4.1-2</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项目危险废物贮存场所基本情况</w:t>
      </w:r>
    </w:p>
    <w:p>
      <w:pPr>
        <w:spacing w:line="38" w:lineRule="exact"/>
        <w:rPr>
          <w:rFonts w:ascii="Times New Roman" w:hAnsi="Times New Roman" w:eastAsia="宋体" w:cs="Times New Roman"/>
          <w:color w:val="auto"/>
          <w:spacing w:val="0"/>
          <w:w w:val="99"/>
          <w:position w:val="0"/>
          <w:highlight w:val="none"/>
        </w:rPr>
      </w:pPr>
    </w:p>
    <w:tbl>
      <w:tblPr>
        <w:tblStyle w:val="28"/>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714"/>
        <w:gridCol w:w="1093"/>
        <w:gridCol w:w="1200"/>
        <w:gridCol w:w="1482"/>
        <w:gridCol w:w="1191"/>
        <w:gridCol w:w="1169"/>
        <w:gridCol w:w="122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29" w:hRule="atLeast"/>
        </w:trPr>
        <w:tc>
          <w:tcPr>
            <w:tcW w:w="94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贮存场所名称</w:t>
            </w:r>
          </w:p>
        </w:tc>
        <w:tc>
          <w:tcPr>
            <w:tcW w:w="60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危险废</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物名称</w:t>
            </w:r>
          </w:p>
        </w:tc>
        <w:tc>
          <w:tcPr>
            <w:tcW w:w="66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危险废物</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类别</w:t>
            </w:r>
          </w:p>
        </w:tc>
        <w:tc>
          <w:tcPr>
            <w:tcW w:w="81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危险废物</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代码</w:t>
            </w:r>
          </w:p>
        </w:tc>
        <w:tc>
          <w:tcPr>
            <w:tcW w:w="65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位置</w:t>
            </w:r>
          </w:p>
        </w:tc>
        <w:tc>
          <w:tcPr>
            <w:tcW w:w="64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占地面</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积</w:t>
            </w:r>
            <w:r>
              <w:rPr>
                <w:rFonts w:hint="eastAsia" w:ascii="Times New Roman" w:hAnsi="Times New Roman" w:eastAsia="宋体" w:cs="Times New Roman"/>
                <w:color w:val="auto"/>
                <w:w w:val="100"/>
                <w:highlight w:val="none"/>
                <w:lang w:eastAsia="zh-CN"/>
              </w:rPr>
              <w:t>（</w:t>
            </w:r>
            <w:r>
              <w:rPr>
                <w:rFonts w:hint="eastAsia" w:ascii="Times New Roman" w:hAnsi="Times New Roman" w:eastAsia="宋体" w:cs="Times New Roman"/>
                <w:color w:val="auto"/>
                <w:w w:val="100"/>
                <w:highlight w:val="none"/>
              </w:rPr>
              <w:t>m</w:t>
            </w:r>
            <w:r>
              <w:rPr>
                <w:rFonts w:hint="eastAsia" w:ascii="Times New Roman" w:hAnsi="Times New Roman" w:eastAsia="宋体" w:cs="Times New Roman"/>
                <w:color w:val="auto"/>
                <w:w w:val="100"/>
                <w:highlight w:val="none"/>
                <w:vertAlign w:val="superscript"/>
              </w:rPr>
              <w:t>2</w:t>
            </w:r>
            <w:r>
              <w:rPr>
                <w:rFonts w:hint="eastAsia" w:ascii="Times New Roman" w:hAnsi="Times New Roman" w:eastAsia="宋体" w:cs="Times New Roman"/>
                <w:color w:val="auto"/>
                <w:w w:val="100"/>
                <w:highlight w:val="none"/>
              </w:rPr>
              <w:t>）</w:t>
            </w:r>
          </w:p>
        </w:tc>
        <w:tc>
          <w:tcPr>
            <w:tcW w:w="67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贮存</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周期</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944" w:type="pct"/>
            <w:vMerge w:val="restar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危废</w:t>
            </w:r>
          </w:p>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贮存间</w:t>
            </w:r>
          </w:p>
        </w:tc>
        <w:tc>
          <w:tcPr>
            <w:tcW w:w="60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废机油</w:t>
            </w:r>
          </w:p>
        </w:tc>
        <w:tc>
          <w:tcPr>
            <w:tcW w:w="66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HW08</w:t>
            </w:r>
          </w:p>
        </w:tc>
        <w:tc>
          <w:tcPr>
            <w:tcW w:w="81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900-214-08</w:t>
            </w:r>
          </w:p>
        </w:tc>
        <w:tc>
          <w:tcPr>
            <w:tcW w:w="65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hint="eastAsia" w:ascii="Times New Roman" w:hAnsi="Times New Roman" w:eastAsia="宋体" w:cs="Times New Roman"/>
                <w:color w:val="auto"/>
                <w:w w:val="100"/>
                <w:highlight w:val="none"/>
                <w:lang w:eastAsia="zh-CN"/>
              </w:rPr>
              <w:t>生产车间内部</w:t>
            </w:r>
          </w:p>
        </w:tc>
        <w:tc>
          <w:tcPr>
            <w:tcW w:w="64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10</w:t>
            </w:r>
          </w:p>
        </w:tc>
        <w:tc>
          <w:tcPr>
            <w:tcW w:w="67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3-</w:t>
            </w:r>
            <w:r>
              <w:rPr>
                <w:rFonts w:hint="eastAsia" w:ascii="Times New Roman" w:hAnsi="Times New Roman" w:eastAsia="宋体" w:cs="Times New Roman"/>
                <w:color w:val="auto"/>
                <w:w w:val="100"/>
                <w:highlight w:val="none"/>
                <w:lang w:val="en-US" w:eastAsia="zh-CN"/>
              </w:rPr>
              <w:t>6月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0" w:hRule="atLeast"/>
        </w:trPr>
        <w:tc>
          <w:tcPr>
            <w:tcW w:w="944" w:type="pct"/>
            <w:vMerge w:val="continue"/>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p>
        </w:tc>
        <w:tc>
          <w:tcPr>
            <w:tcW w:w="602"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hint="eastAsia" w:ascii="Times New Roman" w:hAnsi="Times New Roman" w:eastAsia="宋体" w:cs="Times New Roman"/>
                <w:color w:val="auto"/>
                <w:w w:val="100"/>
                <w:highlight w:val="none"/>
                <w:lang w:eastAsia="zh-CN"/>
              </w:rPr>
              <w:t>废活性炭</w:t>
            </w:r>
          </w:p>
        </w:tc>
        <w:tc>
          <w:tcPr>
            <w:tcW w:w="661"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 xml:space="preserve"> HW49</w:t>
            </w:r>
          </w:p>
        </w:tc>
        <w:tc>
          <w:tcPr>
            <w:tcW w:w="81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900-041-49</w:t>
            </w:r>
          </w:p>
        </w:tc>
        <w:tc>
          <w:tcPr>
            <w:tcW w:w="656"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lang w:eastAsia="zh-CN"/>
              </w:rPr>
            </w:pPr>
            <w:r>
              <w:rPr>
                <w:rFonts w:hint="eastAsia" w:ascii="Times New Roman" w:hAnsi="Times New Roman" w:eastAsia="宋体" w:cs="Times New Roman"/>
                <w:color w:val="auto"/>
                <w:w w:val="100"/>
                <w:highlight w:val="none"/>
                <w:lang w:eastAsia="zh-CN"/>
              </w:rPr>
              <w:t>生产车间内部</w:t>
            </w:r>
          </w:p>
        </w:tc>
        <w:tc>
          <w:tcPr>
            <w:tcW w:w="64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10</w:t>
            </w:r>
          </w:p>
        </w:tc>
        <w:tc>
          <w:tcPr>
            <w:tcW w:w="674" w:type="pct"/>
            <w:tcBorders>
              <w:tl2br w:val="nil"/>
              <w:tr2bl w:val="nil"/>
            </w:tcBorders>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eastAsia="宋体" w:cs="Times New Roman"/>
                <w:color w:val="auto"/>
                <w:w w:val="100"/>
                <w:highlight w:val="none"/>
              </w:rPr>
            </w:pPr>
            <w:r>
              <w:rPr>
                <w:rFonts w:hint="eastAsia" w:ascii="Times New Roman" w:hAnsi="Times New Roman" w:eastAsia="宋体" w:cs="Times New Roman"/>
                <w:color w:val="auto"/>
                <w:w w:val="100"/>
                <w:highlight w:val="none"/>
              </w:rPr>
              <w:t>3-</w:t>
            </w:r>
            <w:r>
              <w:rPr>
                <w:rFonts w:hint="eastAsia" w:ascii="Times New Roman" w:hAnsi="Times New Roman" w:eastAsia="宋体" w:cs="Times New Roman"/>
                <w:color w:val="auto"/>
                <w:w w:val="100"/>
                <w:highlight w:val="none"/>
                <w:lang w:val="en-US" w:eastAsia="zh-CN"/>
              </w:rPr>
              <w:t>6月</w:t>
            </w:r>
          </w:p>
        </w:tc>
      </w:tr>
    </w:tbl>
    <w:p>
      <w:pPr>
        <w:bidi w:val="0"/>
        <w:rPr>
          <w:color w:val="auto"/>
          <w:highlight w:val="none"/>
        </w:rPr>
      </w:pPr>
      <w:r>
        <w:rPr>
          <w:rFonts w:hint="eastAsia"/>
          <w:color w:val="auto"/>
          <w:highlight w:val="none"/>
          <w:lang w:eastAsia="zh-CN"/>
        </w:rPr>
        <w:t>（</w:t>
      </w:r>
      <w:r>
        <w:rPr>
          <w:rFonts w:hint="eastAsia"/>
          <w:color w:val="auto"/>
          <w:highlight w:val="none"/>
          <w:lang w:val="en-US" w:eastAsia="zh-CN"/>
        </w:rPr>
        <w:t>3</w:t>
      </w:r>
      <w:r>
        <w:rPr>
          <w:color w:val="auto"/>
          <w:highlight w:val="none"/>
        </w:rPr>
        <w:t>）一般工业固废</w:t>
      </w:r>
    </w:p>
    <w:p>
      <w:pPr>
        <w:bidi w:val="0"/>
        <w:rPr>
          <w:color w:val="auto"/>
          <w:highlight w:val="none"/>
        </w:rPr>
      </w:pPr>
      <w:r>
        <w:rPr>
          <w:color w:val="auto"/>
          <w:highlight w:val="none"/>
        </w:rPr>
        <w:t>由工程分析可知，</w:t>
      </w:r>
      <w:r>
        <w:rPr>
          <w:rFonts w:hint="eastAsia"/>
          <w:color w:val="auto"/>
          <w:highlight w:val="none"/>
          <w:lang w:eastAsia="zh-CN"/>
        </w:rPr>
        <w:t>本</w:t>
      </w:r>
      <w:r>
        <w:rPr>
          <w:color w:val="auto"/>
          <w:highlight w:val="none"/>
        </w:rPr>
        <w:t>项目一般工业固体废物主要</w:t>
      </w:r>
      <w:r>
        <w:rPr>
          <w:rFonts w:hint="eastAsia"/>
          <w:color w:val="auto"/>
          <w:highlight w:val="none"/>
          <w:lang w:eastAsia="zh-CN"/>
        </w:rPr>
        <w:t>为</w:t>
      </w:r>
      <w:r>
        <w:rPr>
          <w:rFonts w:hint="eastAsia" w:ascii="Times New Roman" w:hAnsi="Times New Roman" w:cs="Times New Roman"/>
          <w:color w:val="auto"/>
          <w:highlight w:val="none"/>
        </w:rPr>
        <w:t>浆料分离产生的杂质、</w:t>
      </w:r>
      <w:r>
        <w:rPr>
          <w:color w:val="auto"/>
          <w:highlight w:val="none"/>
        </w:rPr>
        <w:t>污水处理站固体废物</w:t>
      </w:r>
      <w:r>
        <w:rPr>
          <w:rFonts w:hint="eastAsia"/>
          <w:color w:val="auto"/>
          <w:highlight w:val="none"/>
          <w:lang w:eastAsia="zh-CN"/>
        </w:rPr>
        <w:t>、</w:t>
      </w:r>
      <w:r>
        <w:rPr>
          <w:color w:val="auto"/>
          <w:highlight w:val="none"/>
        </w:rPr>
        <w:t>燃料灰渣</w:t>
      </w:r>
      <w:r>
        <w:rPr>
          <w:rFonts w:hint="eastAsia"/>
          <w:color w:val="auto"/>
          <w:highlight w:val="none"/>
          <w:lang w:eastAsia="zh-CN"/>
        </w:rPr>
        <w:t>及废离子交换树脂</w:t>
      </w:r>
      <w:r>
        <w:rPr>
          <w:color w:val="auto"/>
          <w:highlight w:val="none"/>
        </w:rPr>
        <w:t>等。</w:t>
      </w:r>
    </w:p>
    <w:p>
      <w:pPr>
        <w:bidi w:val="0"/>
        <w:rPr>
          <w:color w:val="auto"/>
          <w:highlight w:val="none"/>
        </w:rPr>
      </w:pPr>
      <w:r>
        <w:rPr>
          <w:color w:val="auto"/>
          <w:highlight w:val="none"/>
        </w:rPr>
        <w:t>固体废物汇总表详见表</w:t>
      </w:r>
      <w:r>
        <w:rPr>
          <w:rFonts w:hint="eastAsia" w:ascii="Times New Roman" w:hAnsi="Times New Roman" w:cs="Times New Roman"/>
          <w:color w:val="auto"/>
          <w:highlight w:val="none"/>
          <w:lang w:val="en-US" w:eastAsia="zh-CN"/>
        </w:rPr>
        <w:t>5.2.4.1-3</w:t>
      </w:r>
      <w:r>
        <w:rPr>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5.2.4.1-3</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固体废物产生及处置情况表</w:t>
      </w:r>
    </w:p>
    <w:tbl>
      <w:tblPr>
        <w:tblStyle w:val="23"/>
        <w:tblW w:w="885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92"/>
        <w:gridCol w:w="1529"/>
        <w:gridCol w:w="1424"/>
        <w:gridCol w:w="1746"/>
        <w:gridCol w:w="1638"/>
        <w:gridCol w:w="17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792" w:type="dxa"/>
            <w:tcBorders>
              <w:righ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序号</w:t>
            </w:r>
          </w:p>
        </w:tc>
        <w:tc>
          <w:tcPr>
            <w:tcW w:w="1529" w:type="dxa"/>
            <w:tcBorders>
              <w:left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种类</w:t>
            </w:r>
          </w:p>
        </w:tc>
        <w:tc>
          <w:tcPr>
            <w:tcW w:w="1424"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产生工序</w:t>
            </w:r>
          </w:p>
        </w:tc>
        <w:tc>
          <w:tcPr>
            <w:tcW w:w="1746"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年产生量</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t/a</w:t>
            </w:r>
            <w:r>
              <w:rPr>
                <w:rFonts w:hint="eastAsia" w:ascii="Times New Roman" w:hAnsi="Times New Roman" w:eastAsia="宋体" w:cs="Times New Roman"/>
                <w:color w:val="auto"/>
                <w:w w:val="100"/>
                <w:sz w:val="21"/>
                <w:highlight w:val="none"/>
                <w:lang w:eastAsia="zh-CN"/>
              </w:rPr>
              <w:t>）</w:t>
            </w:r>
          </w:p>
        </w:tc>
        <w:tc>
          <w:tcPr>
            <w:tcW w:w="16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主要成分</w:t>
            </w:r>
          </w:p>
        </w:tc>
        <w:tc>
          <w:tcPr>
            <w:tcW w:w="172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0"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eastAsia" w:ascii="Times New Roman"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1</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生活垃圾</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日常生活</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1.24</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cs="Times New Roman"/>
                <w:color w:val="auto"/>
                <w:spacing w:val="0"/>
                <w:w w:val="100"/>
                <w:position w:val="0"/>
                <w:sz w:val="21"/>
                <w:szCs w:val="21"/>
                <w:highlight w:val="none"/>
                <w:lang w:val="en-US" w:eastAsia="zh-CN"/>
              </w:rPr>
              <w:t>生活垃圾</w:t>
            </w:r>
          </w:p>
        </w:tc>
        <w:tc>
          <w:tcPr>
            <w:tcW w:w="172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环卫部门定期清理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3"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eastAsia"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2</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杂质</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除砂、纤维分离</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cs="Times New Roman"/>
                <w:color w:val="auto"/>
                <w:spacing w:val="0"/>
                <w:w w:val="100"/>
                <w:position w:val="0"/>
                <w:sz w:val="21"/>
                <w:szCs w:val="21"/>
                <w:highlight w:val="none"/>
                <w:lang w:val="en-US" w:eastAsia="zh-CN"/>
              </w:rPr>
              <w:t>335</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砂、土、纤维</w:t>
            </w:r>
          </w:p>
        </w:tc>
        <w:tc>
          <w:tcPr>
            <w:tcW w:w="172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定期外售给收购企业进行资源化利用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3"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eastAsia"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3</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污泥</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污水处理站</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765</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default" w:ascii="Times New Roman" w:hAnsi="Times New Roman" w:eastAsia="宋体" w:cs="Times New Roman"/>
                <w:color w:val="auto"/>
                <w:spacing w:val="0"/>
                <w:w w:val="100"/>
                <w:position w:val="0"/>
                <w:sz w:val="21"/>
                <w:szCs w:val="21"/>
                <w:highlight w:val="none"/>
                <w:lang w:eastAsia="zh-CN"/>
              </w:rPr>
              <w:t>纤维</w:t>
            </w:r>
          </w:p>
        </w:tc>
        <w:tc>
          <w:tcPr>
            <w:tcW w:w="172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rPr>
              <w:t>沉淀污泥经板框压滤后外售砖厂制砖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3"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4</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锅炉炉渣和捕集到的飞灰</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锅炉</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cs="Times New Roman"/>
                <w:color w:val="auto"/>
                <w:spacing w:val="0"/>
                <w:w w:val="100"/>
                <w:position w:val="0"/>
                <w:sz w:val="21"/>
                <w:szCs w:val="21"/>
                <w:highlight w:val="none"/>
                <w:lang w:val="en-US" w:eastAsia="zh-CN"/>
              </w:rPr>
              <w:t>138.58</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炉渣、飞灰</w:t>
            </w:r>
          </w:p>
        </w:tc>
        <w:tc>
          <w:tcPr>
            <w:tcW w:w="172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定期外售给收购企业进行资源化利用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3"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5</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废离子交换树脂</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锅炉软化水</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0.1</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废树脂</w:t>
            </w:r>
          </w:p>
        </w:tc>
        <w:tc>
          <w:tcPr>
            <w:tcW w:w="172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由生产厂家上门更换时回收处置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3" w:hRule="atLeast"/>
          <w:jc w:val="center"/>
        </w:trPr>
        <w:tc>
          <w:tcPr>
            <w:tcW w:w="792" w:type="dxa"/>
            <w:tcBorders>
              <w:right w:val="single" w:color="auto" w:sz="4" w:space="0"/>
            </w:tcBorders>
            <w:vAlign w:val="center"/>
          </w:tcPr>
          <w:p>
            <w:pPr>
              <w:pStyle w:val="31"/>
              <w:bidi w:val="0"/>
              <w:ind w:left="0" w:leftChars="0" w:right="0" w:rightChars="0" w:firstLine="0" w:firstLineChars="0"/>
              <w:jc w:val="center"/>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6</w:t>
            </w:r>
          </w:p>
        </w:tc>
        <w:tc>
          <w:tcPr>
            <w:tcW w:w="1529" w:type="dxa"/>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废润滑油</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维修、保养</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val="en-US" w:eastAsia="zh-CN"/>
              </w:rPr>
              <w:t>0.1</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废润滑油</w:t>
            </w:r>
          </w:p>
        </w:tc>
        <w:tc>
          <w:tcPr>
            <w:tcW w:w="172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危废暂存间暂存后委托有资质到单位处置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3" w:hRule="atLeast"/>
          <w:jc w:val="center"/>
        </w:trPr>
        <w:tc>
          <w:tcPr>
            <w:tcW w:w="792" w:type="dxa"/>
            <w:vAlign w:val="center"/>
          </w:tcPr>
          <w:p>
            <w:pPr>
              <w:pStyle w:val="31"/>
              <w:bidi w:val="0"/>
              <w:jc w:val="center"/>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7</w:t>
            </w:r>
          </w:p>
        </w:tc>
        <w:tc>
          <w:tcPr>
            <w:tcW w:w="152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w:t>
            </w:r>
            <w:r>
              <w:rPr>
                <w:rFonts w:hint="eastAsia" w:ascii="Times New Roman" w:cs="Times New Roman"/>
                <w:color w:val="auto"/>
                <w:spacing w:val="0"/>
                <w:w w:val="100"/>
                <w:position w:val="0"/>
                <w:sz w:val="21"/>
                <w:szCs w:val="21"/>
                <w:highlight w:val="none"/>
                <w:lang w:eastAsia="zh-CN"/>
              </w:rPr>
              <w:t>活性炭</w:t>
            </w:r>
          </w:p>
        </w:tc>
        <w:tc>
          <w:tcPr>
            <w:tcW w:w="1424"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废气治理</w:t>
            </w:r>
          </w:p>
        </w:tc>
        <w:tc>
          <w:tcPr>
            <w:tcW w:w="1746"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cs="Times New Roman"/>
                <w:color w:val="auto"/>
                <w:spacing w:val="0"/>
                <w:w w:val="100"/>
                <w:position w:val="0"/>
                <w:sz w:val="21"/>
                <w:szCs w:val="21"/>
                <w:highlight w:val="none"/>
                <w:lang w:val="en-US" w:eastAsia="zh-CN"/>
              </w:rPr>
              <w:t>1.</w:t>
            </w:r>
            <w:r>
              <w:rPr>
                <w:rFonts w:hint="eastAsia" w:ascii="Times New Roman" w:hAnsi="Times New Roman" w:eastAsia="宋体" w:cs="Times New Roman"/>
                <w:color w:val="auto"/>
                <w:spacing w:val="0"/>
                <w:w w:val="100"/>
                <w:position w:val="0"/>
                <w:sz w:val="21"/>
                <w:szCs w:val="21"/>
                <w:highlight w:val="none"/>
                <w:lang w:val="en-US" w:eastAsia="zh-CN"/>
              </w:rPr>
              <w:t>2</w:t>
            </w:r>
          </w:p>
        </w:tc>
        <w:tc>
          <w:tcPr>
            <w:tcW w:w="1638"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eastAsia="宋体" w:cs="Times New Roman"/>
                <w:color w:val="auto"/>
                <w:spacing w:val="0"/>
                <w:w w:val="100"/>
                <w:position w:val="0"/>
                <w:sz w:val="21"/>
                <w:szCs w:val="21"/>
                <w:highlight w:val="none"/>
                <w:lang w:eastAsia="zh-CN"/>
              </w:rPr>
              <w:t>废</w:t>
            </w:r>
            <w:r>
              <w:rPr>
                <w:rFonts w:hint="eastAsia" w:ascii="Times New Roman" w:cs="Times New Roman"/>
                <w:color w:val="auto"/>
                <w:spacing w:val="0"/>
                <w:w w:val="100"/>
                <w:position w:val="0"/>
                <w:sz w:val="21"/>
                <w:szCs w:val="21"/>
                <w:highlight w:val="none"/>
                <w:lang w:eastAsia="zh-CN"/>
              </w:rPr>
              <w:t>活性炭</w:t>
            </w:r>
          </w:p>
        </w:tc>
        <w:tc>
          <w:tcPr>
            <w:tcW w:w="1728" w:type="dxa"/>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危废暂存间暂存后委托有资质到单位处置</w:t>
            </w:r>
          </w:p>
        </w:tc>
      </w:tr>
    </w:tbl>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color w:val="auto"/>
          <w:highlight w:val="none"/>
        </w:rPr>
      </w:pPr>
      <w:r>
        <w:rPr>
          <w:rFonts w:ascii="Times New Roman" w:hAnsi="Times New Roman" w:cs="Times New Roman"/>
          <w:color w:val="auto"/>
          <w:highlight w:val="none"/>
        </w:rPr>
        <w:t>5.2.</w:t>
      </w:r>
      <w:r>
        <w:rPr>
          <w:rFonts w:hint="eastAsia" w:ascii="Times New Roman" w:hAnsi="Times New Roman" w:cs="Times New Roman"/>
          <w:color w:val="auto"/>
          <w:highlight w:val="none"/>
          <w:lang w:val="en-US" w:eastAsia="zh-CN"/>
        </w:rPr>
        <w:t>4.2</w:t>
      </w:r>
      <w:r>
        <w:rPr>
          <w:rFonts w:ascii="Times New Roman" w:hAnsi="Times New Roman" w:cs="Times New Roman"/>
          <w:color w:val="auto"/>
          <w:highlight w:val="none"/>
        </w:rPr>
        <w:t>固体废物影响分析</w:t>
      </w:r>
    </w:p>
    <w:p>
      <w:pPr>
        <w:bidi w:val="0"/>
        <w:rPr>
          <w:color w:val="auto"/>
          <w:highlight w:val="none"/>
        </w:rPr>
      </w:pPr>
      <w:r>
        <w:rPr>
          <w:rFonts w:hint="eastAsia"/>
          <w:color w:val="auto"/>
          <w:highlight w:val="none"/>
          <w:lang w:eastAsia="zh-CN"/>
        </w:rPr>
        <w:t>（</w:t>
      </w:r>
      <w:r>
        <w:rPr>
          <w:color w:val="auto"/>
          <w:highlight w:val="none"/>
        </w:rPr>
        <w:t>一）危险废物影响分析</w:t>
      </w:r>
    </w:p>
    <w:p>
      <w:pPr>
        <w:bidi w:val="0"/>
        <w:rPr>
          <w:color w:val="auto"/>
          <w:highlight w:val="none"/>
        </w:rPr>
      </w:pPr>
      <w:r>
        <w:rPr>
          <w:color w:val="auto"/>
          <w:highlight w:val="none"/>
        </w:rPr>
        <w:t>本项目生产过程中产生的危险废物应设置独立的临时储存间，设立标识牌，储存间应有地面防渗、渗滤液收集和排风系统设置，危险废物要有进出台账，并及时委托有资质的单位收集和处理，建立危废转移台账制度。</w:t>
      </w:r>
    </w:p>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1）危险废物贮存场所环境影响分析</w:t>
      </w:r>
    </w:p>
    <w:p>
      <w:pPr>
        <w:bidi w:val="0"/>
        <w:rPr>
          <w:rFonts w:ascii="Times New Roman" w:hAnsi="Times New Roman" w:cs="Times New Roman"/>
          <w:color w:val="auto"/>
          <w:highlight w:val="none"/>
        </w:rPr>
      </w:pPr>
      <w:r>
        <w:rPr>
          <w:rFonts w:ascii="Times New Roman" w:hAnsi="Times New Roman" w:cs="Times New Roman"/>
          <w:color w:val="auto"/>
          <w:highlight w:val="none"/>
        </w:rPr>
        <w:t>危废间按照《危险废物贮存污染控制标准》</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GB18597-20</w:t>
      </w:r>
      <w:r>
        <w:rPr>
          <w:rFonts w:hint="eastAsia" w:ascii="Times New Roman" w:cs="Times New Roman"/>
          <w:color w:val="auto"/>
          <w:highlight w:val="none"/>
          <w:lang w:val="en-US" w:eastAsia="zh-CN"/>
        </w:rPr>
        <w:t>23</w:t>
      </w:r>
      <w:r>
        <w:rPr>
          <w:rFonts w:ascii="Times New Roman" w:hAnsi="Times New Roman" w:cs="Times New Roman"/>
          <w:color w:val="auto"/>
          <w:highlight w:val="none"/>
        </w:rPr>
        <w:t>）</w:t>
      </w:r>
      <w:r>
        <w:rPr>
          <w:rFonts w:hint="eastAsia" w:ascii="Times New Roman" w:cs="Times New Roman"/>
          <w:color w:val="auto"/>
          <w:highlight w:val="none"/>
          <w:lang w:val="en-US" w:eastAsia="zh-CN"/>
        </w:rPr>
        <w:t>要求进行建设</w:t>
      </w:r>
      <w:r>
        <w:rPr>
          <w:rFonts w:ascii="Times New Roman" w:hAnsi="Times New Roman" w:cs="Times New Roman"/>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5.2.4.2-1</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与《危险废物贮存污染控制标准》选址原则衡量表</w:t>
      </w:r>
    </w:p>
    <w:p>
      <w:pPr>
        <w:spacing w:line="35" w:lineRule="exact"/>
        <w:rPr>
          <w:rFonts w:ascii="Times New Roman" w:hAnsi="Times New Roman" w:eastAsia="宋体" w:cs="Times New Roman"/>
          <w:color w:val="auto"/>
          <w:spacing w:val="0"/>
          <w:w w:val="99"/>
          <w:position w:val="0"/>
          <w:highlight w:val="none"/>
        </w:rPr>
      </w:pPr>
    </w:p>
    <w:tbl>
      <w:tblPr>
        <w:tblStyle w:val="28"/>
        <w:tblW w:w="8799"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12"/>
        <w:gridCol w:w="6021"/>
        <w:gridCol w:w="2266"/>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3" w:hRule="atLeast"/>
          <w:jc w:val="center"/>
        </w:trPr>
        <w:tc>
          <w:tcPr>
            <w:tcW w:w="512"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序号</w:t>
            </w:r>
          </w:p>
        </w:tc>
        <w:tc>
          <w:tcPr>
            <w:tcW w:w="6021"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选址要求</w:t>
            </w:r>
          </w:p>
        </w:tc>
        <w:tc>
          <w:tcPr>
            <w:tcW w:w="2266"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符合性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04" w:hRule="atLeast"/>
          <w:jc w:val="center"/>
        </w:trPr>
        <w:tc>
          <w:tcPr>
            <w:tcW w:w="512"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tc>
        <w:tc>
          <w:tcPr>
            <w:tcW w:w="6021"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贮存设施选址应满足生态环境保护法律法规、 规划和“三线一单” 生态环境分区管控的要求， 建设项目应依法进行环境影响评价。</w:t>
            </w:r>
          </w:p>
        </w:tc>
        <w:tc>
          <w:tcPr>
            <w:tcW w:w="2266"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80" w:hRule="atLeast"/>
          <w:jc w:val="center"/>
        </w:trPr>
        <w:tc>
          <w:tcPr>
            <w:tcW w:w="512"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w:t>
            </w:r>
          </w:p>
        </w:tc>
        <w:tc>
          <w:tcPr>
            <w:tcW w:w="6021"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集中贮存设施不应选在生态保护红线区域、 永久基本农田和其他需要特别保护的区域内， 不应建在溶洞区或易遭受洪水、 滑坡、 泥石流、 潮汐等严重自然灾害影响的地区。</w:t>
            </w:r>
          </w:p>
        </w:tc>
        <w:tc>
          <w:tcPr>
            <w:tcW w:w="2266"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80" w:hRule="atLeast"/>
          <w:jc w:val="center"/>
        </w:trPr>
        <w:tc>
          <w:tcPr>
            <w:tcW w:w="512"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4</w:t>
            </w:r>
          </w:p>
        </w:tc>
        <w:tc>
          <w:tcPr>
            <w:tcW w:w="6021"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贮存设施不应选在江河、 湖泊、 运河、 渠道、 水库及其最高水位线以下的滩地和岸坡， 以及法律法规规定禁止贮存危险废物的其他地点。</w:t>
            </w:r>
          </w:p>
        </w:tc>
        <w:tc>
          <w:tcPr>
            <w:tcW w:w="2266"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符合</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183" w:hRule="atLeast"/>
          <w:jc w:val="center"/>
        </w:trPr>
        <w:tc>
          <w:tcPr>
            <w:tcW w:w="512"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5</w:t>
            </w:r>
          </w:p>
        </w:tc>
        <w:tc>
          <w:tcPr>
            <w:tcW w:w="6021"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贮存设施场址的位置以及其与周围环境敏感目标的距离应依据环境影响评价文件确定</w:t>
            </w:r>
            <w:r>
              <w:rPr>
                <w:rFonts w:ascii="Times New Roman" w:hAnsi="Times New Roman" w:eastAsia="宋体" w:cs="Times New Roman"/>
                <w:color w:val="auto"/>
                <w:w w:val="100"/>
                <w:sz w:val="21"/>
                <w:highlight w:val="none"/>
              </w:rPr>
              <w:t>。</w:t>
            </w:r>
          </w:p>
        </w:tc>
        <w:tc>
          <w:tcPr>
            <w:tcW w:w="2266" w:type="dxa"/>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危废储存间距居民点最近距离为2</w:t>
            </w:r>
            <w:r>
              <w:rPr>
                <w:rFonts w:hint="eastAsia" w:ascii="Times New Roman" w:hAnsi="Times New Roman" w:eastAsia="宋体" w:cs="Times New Roman"/>
                <w:color w:val="auto"/>
                <w:w w:val="100"/>
                <w:sz w:val="21"/>
                <w:highlight w:val="none"/>
                <w:lang w:val="en-US" w:eastAsia="zh-CN"/>
              </w:rPr>
              <w:t>10</w:t>
            </w:r>
            <w:r>
              <w:rPr>
                <w:rFonts w:ascii="Times New Roman" w:hAnsi="Times New Roman" w:eastAsia="宋体" w:cs="Times New Roman"/>
                <w:color w:val="auto"/>
                <w:w w:val="100"/>
                <w:sz w:val="21"/>
                <w:highlight w:val="none"/>
              </w:rPr>
              <w:t>m。危废间无组织废气排放量较小，风险事故情况下影响范围也很小，基本符合要求</w:t>
            </w: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由上表可知，本项目危废间选址符合《危险废物贮存污染控制标准》</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GB18597-20</w:t>
      </w:r>
      <w:r>
        <w:rPr>
          <w:rFonts w:hint="eastAsia" w:ascii="Times New Roman" w:cs="Times New Roman"/>
          <w:color w:val="auto"/>
          <w:highlight w:val="none"/>
          <w:lang w:val="en-US" w:eastAsia="zh-CN"/>
        </w:rPr>
        <w:t>23</w:t>
      </w:r>
      <w:r>
        <w:rPr>
          <w:rFonts w:ascii="Times New Roman" w:hAnsi="Times New Roman" w:cs="Times New Roman"/>
          <w:color w:val="auto"/>
          <w:highlight w:val="none"/>
        </w:rPr>
        <w:t>）等</w:t>
      </w:r>
      <w:r>
        <w:rPr>
          <w:rFonts w:hint="eastAsia" w:ascii="Times New Roman" w:cs="Times New Roman"/>
          <w:color w:val="auto"/>
          <w:highlight w:val="none"/>
          <w:lang w:val="en-US" w:eastAsia="zh-CN"/>
        </w:rPr>
        <w:t>规范</w:t>
      </w:r>
      <w:r>
        <w:rPr>
          <w:rFonts w:ascii="Times New Roman" w:hAnsi="Times New Roman" w:cs="Times New Roman"/>
          <w:color w:val="auto"/>
          <w:highlight w:val="none"/>
        </w:rPr>
        <w:t>要求。</w:t>
      </w:r>
    </w:p>
    <w:p>
      <w:pPr>
        <w:bidi w:val="0"/>
        <w:rPr>
          <w:rFonts w:ascii="Times New Roman" w:hAnsi="Times New Roman" w:cs="Times New Roman"/>
          <w:color w:val="auto"/>
          <w:highlight w:val="none"/>
        </w:rPr>
      </w:pPr>
      <w:r>
        <w:rPr>
          <w:rFonts w:ascii="Times New Roman" w:hAnsi="Times New Roman" w:cs="Times New Roman"/>
          <w:color w:val="auto"/>
          <w:highlight w:val="none"/>
        </w:rPr>
        <w:t>本项目危废产生量为</w:t>
      </w:r>
      <w:r>
        <w:rPr>
          <w:rFonts w:hint="eastAsia" w:cs="Times New Roman"/>
          <w:color w:val="auto"/>
          <w:highlight w:val="none"/>
          <w:lang w:val="en-US" w:eastAsia="zh-CN"/>
        </w:rPr>
        <w:t>1.3</w:t>
      </w:r>
      <w:r>
        <w:rPr>
          <w:rFonts w:ascii="Times New Roman" w:hAnsi="Times New Roman" w:cs="Times New Roman"/>
          <w:color w:val="auto"/>
          <w:highlight w:val="none"/>
        </w:rPr>
        <w:t>t/a，危废贮存间占地面积为10m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，贮存周期3-</w:t>
      </w:r>
      <w:r>
        <w:rPr>
          <w:rFonts w:hint="eastAsia" w:ascii="Times New Roman" w:hAnsi="Times New Roman" w:cs="Times New Roman"/>
          <w:color w:val="auto"/>
          <w:highlight w:val="none"/>
          <w:lang w:val="en-US" w:eastAsia="zh-CN"/>
        </w:rPr>
        <w:t>6</w:t>
      </w:r>
      <w:r>
        <w:rPr>
          <w:rFonts w:hint="eastAsia" w:ascii="Times New Roman" w:hAnsi="Times New Roman" w:cs="Times New Roman"/>
          <w:color w:val="auto"/>
          <w:highlight w:val="none"/>
          <w:lang w:eastAsia="zh-CN"/>
        </w:rPr>
        <w:t>月</w:t>
      </w:r>
      <w:r>
        <w:rPr>
          <w:rFonts w:ascii="Times New Roman" w:hAnsi="Times New Roman" w:cs="Times New Roman"/>
          <w:color w:val="auto"/>
          <w:highlight w:val="none"/>
        </w:rPr>
        <w:t>，其贮存能力完全可以满足危废的临时储存要求。</w:t>
      </w:r>
    </w:p>
    <w:p>
      <w:pPr>
        <w:bidi w:val="0"/>
        <w:rPr>
          <w:rFonts w:ascii="Times New Roman" w:hAnsi="Times New Roman" w:cs="Times New Roman"/>
          <w:color w:val="auto"/>
          <w:highlight w:val="none"/>
        </w:rPr>
      </w:pPr>
      <w:r>
        <w:rPr>
          <w:rFonts w:ascii="Times New Roman" w:hAnsi="Times New Roman" w:cs="Times New Roman"/>
          <w:color w:val="auto"/>
          <w:highlight w:val="none"/>
        </w:rPr>
        <w:t>所有危废均放置于专用的容器中密闭存放，无组织废气的排放量较小，对周边敏感点影响较小。若危废泄露，设集液沟通至漏液收集池，用泵抽入专用容器内，作为危废处置，不得混入到废水中，以防止对水环境造成污染。危废间地面均按要求做了防渗处理，故对地下水和土壤的影响也很小。故危废贮存过程中对环境空气、地表水、地下水、土壤以及环境敏感保护目标可能造成的影响很小。</w:t>
      </w:r>
    </w:p>
    <w:p>
      <w:pPr>
        <w:bidi w:val="0"/>
        <w:rPr>
          <w:color w:val="auto"/>
          <w:highlight w:val="none"/>
        </w:rPr>
      </w:pPr>
      <w:r>
        <w:rPr>
          <w:rFonts w:hint="eastAsia"/>
          <w:color w:val="auto"/>
          <w:highlight w:val="none"/>
          <w:lang w:eastAsia="zh-CN"/>
        </w:rPr>
        <w:t>（</w:t>
      </w:r>
      <w:r>
        <w:rPr>
          <w:color w:val="auto"/>
          <w:highlight w:val="none"/>
        </w:rPr>
        <w:t>2）运输过程的环境影响分析</w:t>
      </w:r>
    </w:p>
    <w:p>
      <w:pPr>
        <w:bidi w:val="0"/>
        <w:rPr>
          <w:color w:val="auto"/>
          <w:highlight w:val="none"/>
        </w:rPr>
      </w:pPr>
      <w:r>
        <w:rPr>
          <w:color w:val="auto"/>
          <w:highlight w:val="none"/>
        </w:rPr>
        <w:t>危险废物为废机油，均产生于生产车间内，在车间密封后运至危废间，产生散落和泄露的可能性均很小，运输沿线无环境敏感点，故危废运输的对环境的影响较小。厂外运输均委托专门的运输单位，其环境影响不列入本项目评价。</w:t>
      </w:r>
    </w:p>
    <w:p>
      <w:pPr>
        <w:bidi w:val="0"/>
        <w:rPr>
          <w:rFonts w:ascii="Times New Roman" w:hAnsi="Times New Roman" w:eastAsia="宋体" w:cs="Times New Roman"/>
          <w:color w:val="auto"/>
          <w:spacing w:val="0"/>
          <w:w w:val="99"/>
          <w:position w:val="0"/>
          <w:szCs w:val="24"/>
          <w:highlight w:val="none"/>
        </w:rPr>
      </w:pPr>
      <w:r>
        <w:rPr>
          <w:rFonts w:hint="eastAsia"/>
          <w:color w:val="auto"/>
          <w:highlight w:val="none"/>
          <w:lang w:eastAsia="zh-CN"/>
        </w:rPr>
        <w:t>（</w:t>
      </w:r>
      <w:r>
        <w:rPr>
          <w:rFonts w:hint="eastAsia"/>
          <w:color w:val="auto"/>
          <w:highlight w:val="none"/>
          <w:lang w:val="en-US" w:eastAsia="zh-CN"/>
        </w:rPr>
        <w:t>3</w:t>
      </w:r>
      <w:r>
        <w:rPr>
          <w:color w:val="auto"/>
          <w:highlight w:val="none"/>
        </w:rPr>
        <w:t>）危险废物暂存场设置和转移</w:t>
      </w:r>
    </w:p>
    <w:p>
      <w:pPr>
        <w:bidi w:val="0"/>
        <w:rPr>
          <w:color w:val="auto"/>
          <w:highlight w:val="none"/>
        </w:rPr>
      </w:pPr>
      <w:r>
        <w:rPr>
          <w:color w:val="auto"/>
          <w:highlight w:val="none"/>
        </w:rPr>
        <w:t>1）本项目营运期产生的危险废物主要为废机油，集中收集暂存于厂区的危险废物暂存库内，本项目危险废物暂存库内应根据《危险废物贮存污染控制标准》</w:t>
      </w:r>
      <w:r>
        <w:rPr>
          <w:rFonts w:hint="eastAsia"/>
          <w:color w:val="auto"/>
          <w:highlight w:val="none"/>
          <w:lang w:eastAsia="zh-CN"/>
        </w:rPr>
        <w:t>（</w:t>
      </w:r>
      <w:r>
        <w:rPr>
          <w:color w:val="auto"/>
          <w:highlight w:val="none"/>
        </w:rPr>
        <w:t>18597-20</w:t>
      </w:r>
      <w:r>
        <w:rPr>
          <w:rFonts w:hint="eastAsia"/>
          <w:color w:val="auto"/>
          <w:highlight w:val="none"/>
          <w:lang w:val="en-US" w:eastAsia="zh-CN"/>
        </w:rPr>
        <w:t>23</w:t>
      </w:r>
      <w:r>
        <w:rPr>
          <w:color w:val="auto"/>
          <w:highlight w:val="none"/>
        </w:rPr>
        <w:t>），采取</w:t>
      </w:r>
      <w:r>
        <w:rPr>
          <w:rFonts w:hint="eastAsia"/>
          <w:color w:val="auto"/>
          <w:highlight w:val="none"/>
          <w:lang w:eastAsia="zh-CN"/>
        </w:rPr>
        <w:t>“</w:t>
      </w:r>
      <w:r>
        <w:rPr>
          <w:color w:val="auto"/>
          <w:highlight w:val="none"/>
        </w:rPr>
        <w:t>四防</w:t>
      </w:r>
      <w:r>
        <w:rPr>
          <w:rFonts w:hint="eastAsia"/>
          <w:color w:val="auto"/>
          <w:highlight w:val="none"/>
          <w:lang w:eastAsia="zh-CN"/>
        </w:rPr>
        <w:t>”（</w:t>
      </w:r>
      <w:r>
        <w:rPr>
          <w:color w:val="auto"/>
          <w:highlight w:val="none"/>
        </w:rPr>
        <w:t>防风、防雨、防晒、防渗漏）措施，暂存库位于厂区东北部，因此，危险废物贮存过程中对环境空气、地表水、地下水、土壤以及环境敏感保护目标影响不大，危废贮存容器应符合以下要求：</w:t>
      </w:r>
    </w:p>
    <w:p>
      <w:pPr>
        <w:bidi w:val="0"/>
        <w:rPr>
          <w:color w:val="auto"/>
          <w:highlight w:val="none"/>
        </w:rPr>
      </w:pPr>
      <w:r>
        <w:rPr>
          <w:color w:val="auto"/>
          <w:highlight w:val="none"/>
        </w:rPr>
        <w:t>①应当使用符合标准的容器盛装危险废物。</w:t>
      </w:r>
    </w:p>
    <w:p>
      <w:pPr>
        <w:bidi w:val="0"/>
        <w:rPr>
          <w:color w:val="auto"/>
          <w:highlight w:val="none"/>
        </w:rPr>
      </w:pPr>
      <w:r>
        <w:rPr>
          <w:color w:val="auto"/>
          <w:highlight w:val="none"/>
        </w:rPr>
        <w:t>②装载危险废物的容器及材质要满足相应的强度要求。</w:t>
      </w:r>
    </w:p>
    <w:p>
      <w:pPr>
        <w:bidi w:val="0"/>
        <w:rPr>
          <w:color w:val="auto"/>
          <w:highlight w:val="none"/>
        </w:rPr>
      </w:pPr>
      <w:r>
        <w:rPr>
          <w:color w:val="auto"/>
          <w:highlight w:val="none"/>
        </w:rPr>
        <w:t>③装载危险废物的容器必须完好无损。</w:t>
      </w:r>
    </w:p>
    <w:p>
      <w:pPr>
        <w:bidi w:val="0"/>
        <w:rPr>
          <w:color w:val="auto"/>
          <w:highlight w:val="none"/>
        </w:rPr>
      </w:pPr>
      <w:r>
        <w:rPr>
          <w:color w:val="auto"/>
          <w:highlight w:val="none"/>
        </w:rPr>
        <w:t>④盛装危险废物的容器材质和衬里要与危险废物相容</w:t>
      </w:r>
      <w:r>
        <w:rPr>
          <w:rFonts w:hint="eastAsia"/>
          <w:color w:val="auto"/>
          <w:highlight w:val="none"/>
          <w:lang w:eastAsia="zh-CN"/>
        </w:rPr>
        <w:t>（</w:t>
      </w:r>
      <w:r>
        <w:rPr>
          <w:color w:val="auto"/>
          <w:highlight w:val="none"/>
        </w:rPr>
        <w:t>不相互反应）。</w:t>
      </w:r>
    </w:p>
    <w:p>
      <w:pPr>
        <w:bidi w:val="0"/>
        <w:rPr>
          <w:color w:val="auto"/>
          <w:highlight w:val="none"/>
        </w:rPr>
      </w:pPr>
      <w:r>
        <w:rPr>
          <w:color w:val="auto"/>
          <w:highlight w:val="none"/>
        </w:rPr>
        <w:t>⑤液体危险废物可注入开孔直径不超过70毫米并有放气孔的桶中。</w:t>
      </w:r>
    </w:p>
    <w:p>
      <w:pPr>
        <w:bidi w:val="0"/>
        <w:rPr>
          <w:rFonts w:hint="default" w:eastAsia="宋体"/>
          <w:color w:val="auto"/>
          <w:highlight w:val="none"/>
          <w:lang w:val="en-US" w:eastAsia="zh-CN"/>
        </w:rPr>
      </w:pPr>
      <w:r>
        <w:rPr>
          <w:color w:val="auto"/>
          <w:highlight w:val="none"/>
        </w:rPr>
        <w:t>2）危险废物转移</w:t>
      </w:r>
      <w:r>
        <w:rPr>
          <w:rFonts w:hint="eastAsia"/>
          <w:color w:val="auto"/>
          <w:highlight w:val="none"/>
          <w:lang w:val="en-US" w:eastAsia="zh-CN"/>
        </w:rPr>
        <w:t>和处置</w:t>
      </w:r>
    </w:p>
    <w:p>
      <w:pPr>
        <w:bidi w:val="0"/>
        <w:rPr>
          <w:rFonts w:hint="eastAsia" w:ascii="宋体" w:hAnsi="Times New Roman" w:eastAsia="宋体" w:cs="Times New Roman"/>
          <w:color w:val="auto"/>
          <w:highlight w:val="none"/>
          <w:lang w:eastAsia="zh-CN"/>
        </w:rPr>
      </w:pPr>
      <w:r>
        <w:rPr>
          <w:rFonts w:hint="eastAsia" w:ascii="宋体" w:hAnsi="Times New Roman" w:eastAsia="宋体" w:cs="Times New Roman"/>
          <w:color w:val="auto"/>
          <w:highlight w:val="none"/>
          <w:lang w:eastAsia="zh-CN"/>
        </w:rPr>
        <w:t>目前建设单位尚未明确委托的危险废物处理单位，根据《黑龙江省危险废物经营许可证发放情况公告》（2023年7月14日），黑龙江省核发的危险废物处理资质单位名单中，有能力处理</w:t>
      </w:r>
      <w:r>
        <w:rPr>
          <w:rFonts w:hint="eastAsia" w:ascii="宋体" w:hAnsi="Times New Roman" w:eastAsia="宋体" w:cs="Times New Roman"/>
          <w:color w:val="auto"/>
          <w:highlight w:val="none"/>
          <w:lang w:val="en-US" w:eastAsia="zh-CN"/>
        </w:rPr>
        <w:t>本项目</w:t>
      </w:r>
      <w:r>
        <w:rPr>
          <w:rFonts w:hint="eastAsia" w:ascii="宋体" w:hAnsi="Times New Roman" w:eastAsia="宋体" w:cs="Times New Roman"/>
          <w:color w:val="auto"/>
          <w:highlight w:val="none"/>
          <w:lang w:eastAsia="zh-CN"/>
        </w:rPr>
        <w:t>危险废物的企业</w:t>
      </w:r>
      <w:r>
        <w:rPr>
          <w:rFonts w:hint="eastAsia" w:ascii="宋体" w:hAnsi="Times New Roman" w:eastAsia="宋体" w:cs="Times New Roman"/>
          <w:color w:val="auto"/>
          <w:highlight w:val="none"/>
          <w:lang w:val="en-US" w:eastAsia="zh-CN"/>
        </w:rPr>
        <w:t>名称、设施地址、</w:t>
      </w:r>
      <w:r>
        <w:rPr>
          <w:rFonts w:hint="eastAsia" w:ascii="宋体" w:hAnsi="Times New Roman" w:eastAsia="宋体" w:cs="Times New Roman"/>
          <w:color w:val="auto"/>
          <w:highlight w:val="none"/>
          <w:lang w:eastAsia="zh-CN"/>
        </w:rPr>
        <w:t>经营范围和经营规模见</w:t>
      </w:r>
      <w:r>
        <w:rPr>
          <w:rFonts w:hint="eastAsia" w:ascii="宋体" w:hAnsi="Times New Roman" w:eastAsia="宋体" w:cs="Times New Roman"/>
          <w:color w:val="auto"/>
          <w:highlight w:val="none"/>
          <w:lang w:val="en-US" w:eastAsia="zh-CN"/>
        </w:rPr>
        <w:t>下</w:t>
      </w:r>
      <w:r>
        <w:rPr>
          <w:rFonts w:hint="eastAsia" w:ascii="宋体" w:hAnsi="Times New Roman" w:eastAsia="宋体" w:cs="Times New Roman"/>
          <w:color w:val="auto"/>
          <w:highlight w:val="none"/>
          <w:lang w:eastAsia="zh-CN"/>
        </w:rPr>
        <w:t>表。</w:t>
      </w:r>
    </w:p>
    <w:p>
      <w:pPr>
        <w:bidi w:val="0"/>
        <w:rPr>
          <w:rFonts w:ascii="宋体" w:hAnsi="Times New Roman" w:eastAsia="宋体" w:cs="Times New Roman"/>
          <w:color w:val="auto"/>
          <w:highlight w:val="none"/>
        </w:rPr>
      </w:pPr>
      <w:r>
        <w:rPr>
          <w:rFonts w:ascii="宋体" w:hAnsi="Times New Roman" w:eastAsia="宋体" w:cs="Times New Roman"/>
          <w:color w:val="auto"/>
          <w:highlight w:val="none"/>
        </w:rPr>
        <w:t>表</w:t>
      </w:r>
      <w:r>
        <w:rPr>
          <w:rFonts w:hint="eastAsia" w:ascii="宋体" w:hAnsi="Times New Roman" w:eastAsia="宋体" w:cs="Times New Roman"/>
          <w:color w:val="auto"/>
          <w:highlight w:val="none"/>
          <w:lang w:val="en-US" w:eastAsia="zh-CN"/>
        </w:rPr>
        <w:t>5.2.4.2-2</w:t>
      </w:r>
      <w:r>
        <w:rPr>
          <w:rFonts w:ascii="宋体" w:hAnsi="Times New Roman" w:eastAsia="宋体" w:cs="Times New Roman"/>
          <w:color w:val="auto"/>
          <w:highlight w:val="none"/>
        </w:rPr>
        <w:tab/>
      </w:r>
      <w:r>
        <w:rPr>
          <w:rFonts w:hint="eastAsia" w:ascii="宋体" w:hAnsi="Times New Roman" w:eastAsia="宋体" w:cs="Times New Roman"/>
          <w:color w:val="auto"/>
          <w:highlight w:val="none"/>
          <w:lang w:val="en-US" w:eastAsia="zh-CN"/>
        </w:rPr>
        <w:t xml:space="preserve"> </w:t>
      </w:r>
      <w:r>
        <w:rPr>
          <w:rFonts w:ascii="宋体" w:hAnsi="Times New Roman" w:eastAsia="宋体" w:cs="Times New Roman"/>
          <w:color w:val="auto"/>
          <w:highlight w:val="none"/>
        </w:rPr>
        <w:t>本项目运营期固体废物产生量及综合利用情况一览表</w:t>
      </w:r>
    </w:p>
    <w:tbl>
      <w:tblPr>
        <w:tblStyle w:val="23"/>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41"/>
        <w:gridCol w:w="857"/>
        <w:gridCol w:w="1628"/>
        <w:gridCol w:w="4997"/>
        <w:gridCol w:w="114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243"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序号</w:t>
            </w:r>
          </w:p>
        </w:tc>
        <w:tc>
          <w:tcPr>
            <w:tcW w:w="472"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单位名称</w:t>
            </w:r>
          </w:p>
        </w:tc>
        <w:tc>
          <w:tcPr>
            <w:tcW w:w="897"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设施地址</w:t>
            </w:r>
          </w:p>
        </w:tc>
        <w:tc>
          <w:tcPr>
            <w:tcW w:w="2753"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经营范围</w:t>
            </w:r>
          </w:p>
        </w:tc>
        <w:tc>
          <w:tcPr>
            <w:tcW w:w="633"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核准经营规模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35" w:hRule="atLeast"/>
        </w:trPr>
        <w:tc>
          <w:tcPr>
            <w:tcW w:w="243"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1</w:t>
            </w:r>
          </w:p>
        </w:tc>
        <w:tc>
          <w:tcPr>
            <w:tcW w:w="472"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黑龙江京盛华环保科技有限公司</w:t>
            </w:r>
          </w:p>
        </w:tc>
        <w:tc>
          <w:tcPr>
            <w:tcW w:w="897"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黑龙江省绥化市安达市黑龙江省绥化市安达市哈大齐工业走廊万宝山工业园区</w:t>
            </w:r>
          </w:p>
        </w:tc>
        <w:tc>
          <w:tcPr>
            <w:tcW w:w="2753" w:type="pct"/>
            <w:tcBorders>
              <w:tl2br w:val="nil"/>
              <w:tr2bl w:val="nil"/>
            </w:tcBorders>
            <w:noWrap w:val="0"/>
            <w:vAlign w:val="top"/>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HW02医药废物,HW03废药物、药品,HW04农药废物,HW05木材防腐剂废物,HW06有机溶剂废物,HW07热处理含氰废物,HW08废矿物油与含矿物油废物,HW09油/水、烃/水混合物或乳化液,HW11精（蒸）馏残渣,HW12染料、涂料废物,HW13有机树脂类废物,HW15爆炸性废物,HW16感光材料废物,HW17表面处理废物,HW18焚烧处置残渣,HW19含金属羰基化合物废物,HW20含铍废物,HW21含铬废物,HW22含铜废物,HW23含锌废物,HW24含砷废物,HW25含硒废物,HW26含镉废物,HW27含锑废物,HW28含碲废物,HW29含汞废物,HW30含铊废物,HW31含铅废物,HW32无机氟化物废物,HW33无机氰化物废物,HW34废酸,HW35废碱,HW36石棉废物,HW37有机磷化合物废物,HW38有机氰化物废物,HW39含酚废物,HW40含醚废物,HW45含有机卤化物废物,HW46含镍废物,HW47含钡废物,HW48有色金属采选和冶炼废物,HW49其他废物,HW50废催化剂</w:t>
            </w:r>
          </w:p>
        </w:tc>
        <w:tc>
          <w:tcPr>
            <w:tcW w:w="63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154900.0t/a</w:t>
            </w:r>
          </w:p>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55" w:hRule="atLeast"/>
        </w:trPr>
        <w:tc>
          <w:tcPr>
            <w:tcW w:w="24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2</w:t>
            </w:r>
          </w:p>
        </w:tc>
        <w:tc>
          <w:tcPr>
            <w:tcW w:w="472"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大庆圣德雷特化工有限公司</w:t>
            </w:r>
          </w:p>
        </w:tc>
        <w:tc>
          <w:tcPr>
            <w:tcW w:w="89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黑龙江省大庆市大同区大庆高新轻纺工业园18号</w:t>
            </w:r>
          </w:p>
        </w:tc>
        <w:tc>
          <w:tcPr>
            <w:tcW w:w="275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HW08废矿物油与含矿物油废物,HW31含铅废物,HW49其他废物</w:t>
            </w:r>
          </w:p>
        </w:tc>
        <w:tc>
          <w:tcPr>
            <w:tcW w:w="63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80000.0t/a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9" w:hRule="atLeast"/>
        </w:trPr>
        <w:tc>
          <w:tcPr>
            <w:tcW w:w="24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3</w:t>
            </w:r>
          </w:p>
        </w:tc>
        <w:tc>
          <w:tcPr>
            <w:tcW w:w="472"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黑龙江鸿晟达环保科技有限公司</w:t>
            </w:r>
          </w:p>
        </w:tc>
        <w:tc>
          <w:tcPr>
            <w:tcW w:w="897"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黑龙江省大庆市龙凤区萨东工业小区</w:t>
            </w:r>
          </w:p>
        </w:tc>
        <w:tc>
          <w:tcPr>
            <w:tcW w:w="275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firstLine="0" w:firstLineChars="0"/>
              <w:jc w:val="center"/>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HW08废矿物油与含矿物油废物,HW31含铅废物,HW49其他废物</w:t>
            </w:r>
          </w:p>
        </w:tc>
        <w:tc>
          <w:tcPr>
            <w:tcW w:w="633" w:type="pct"/>
            <w:tcBorders>
              <w:tl2br w:val="nil"/>
              <w:tr2bl w:val="nil"/>
            </w:tcBorders>
            <w:noWrap w:val="0"/>
            <w:vAlign w:val="center"/>
          </w:tcPr>
          <w:p>
            <w:pPr>
              <w:keepNext w:val="0"/>
              <w:keepLines w:val="0"/>
              <w:pageBreakBefore w:val="0"/>
              <w:widowControl/>
              <w:kinsoku/>
              <w:wordWrap/>
              <w:overflowPunct/>
              <w:topLinePunct w:val="0"/>
              <w:autoSpaceDE w:val="0"/>
              <w:autoSpaceDN w:val="0"/>
              <w:bidi w:val="0"/>
              <w:adjustRightInd w:val="0"/>
              <w:snapToGrid w:val="0"/>
              <w:spacing w:line="360" w:lineRule="exact"/>
              <w:ind w:left="0" w:leftChars="0" w:firstLine="0" w:firstLineChars="0"/>
              <w:jc w:val="both"/>
              <w:textAlignment w:val="auto"/>
              <w:rPr>
                <w:rFonts w:hint="eastAsia" w:ascii="宋体" w:hAnsi="宋体" w:eastAsia="宋体" w:cs="宋体"/>
                <w:smallCaps w:val="0"/>
                <w:strike w:val="0"/>
                <w:dstrike w:val="0"/>
                <w:color w:val="auto"/>
                <w:w w:val="99"/>
                <w:sz w:val="21"/>
                <w:szCs w:val="21"/>
                <w:highlight w:val="none"/>
                <w:lang w:val="en-US" w:eastAsia="zh-CN"/>
              </w:rPr>
            </w:pPr>
            <w:r>
              <w:rPr>
                <w:rFonts w:hint="eastAsia" w:ascii="宋体" w:hAnsi="宋体" w:eastAsia="宋体" w:cs="宋体"/>
                <w:smallCaps w:val="0"/>
                <w:strike w:val="0"/>
                <w:dstrike w:val="0"/>
                <w:color w:val="auto"/>
                <w:w w:val="99"/>
                <w:sz w:val="21"/>
                <w:szCs w:val="21"/>
                <w:highlight w:val="none"/>
                <w:lang w:val="en-US" w:eastAsia="zh-CN"/>
              </w:rPr>
              <w:t>16000.0t/a</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mallCaps w:val="0"/>
          <w:color w:val="auto"/>
          <w:w w:val="99"/>
          <w:sz w:val="24"/>
          <w:highlight w:val="none"/>
          <w:lang w:val="en-US" w:eastAsia="zh-CN"/>
        </w:rPr>
      </w:pPr>
      <w:r>
        <w:rPr>
          <w:rFonts w:hint="eastAsia" w:ascii="宋体" w:hAnsi="Times New Roman" w:eastAsia="宋体" w:cs="Times New Roman"/>
          <w:color w:val="auto"/>
          <w:highlight w:val="none"/>
          <w:lang w:eastAsia="zh-CN"/>
        </w:rPr>
        <w:t>建议建设单位</w:t>
      </w:r>
      <w:r>
        <w:rPr>
          <w:rFonts w:hint="eastAsia" w:ascii="宋体" w:hAnsi="Times New Roman" w:eastAsia="宋体" w:cs="Times New Roman"/>
          <w:color w:val="auto"/>
          <w:highlight w:val="none"/>
          <w:lang w:val="en-US" w:eastAsia="zh-CN"/>
        </w:rPr>
        <w:t>在</w:t>
      </w:r>
      <w:r>
        <w:rPr>
          <w:rFonts w:hint="eastAsia" w:ascii="宋体" w:hAnsi="Times New Roman" w:eastAsia="宋体" w:cs="Times New Roman"/>
          <w:color w:val="auto"/>
          <w:highlight w:val="none"/>
          <w:lang w:eastAsia="zh-CN"/>
        </w:rPr>
        <w:t>上述资质单位</w:t>
      </w:r>
      <w:r>
        <w:rPr>
          <w:rFonts w:hint="eastAsia" w:ascii="宋体" w:hAnsi="Times New Roman" w:eastAsia="宋体" w:cs="Times New Roman"/>
          <w:color w:val="auto"/>
          <w:highlight w:val="none"/>
          <w:lang w:val="en-US" w:eastAsia="zh-CN"/>
        </w:rPr>
        <w:t>中选择适合的危废处置单位处置</w:t>
      </w:r>
      <w:r>
        <w:rPr>
          <w:rFonts w:hint="eastAsia" w:ascii="宋体" w:hAnsi="Times New Roman" w:eastAsia="宋体" w:cs="Times New Roman"/>
          <w:color w:val="auto"/>
          <w:highlight w:val="none"/>
          <w:lang w:eastAsia="zh-CN"/>
        </w:rPr>
        <w:t>本项目运营期产生的</w:t>
      </w:r>
      <w:r>
        <w:rPr>
          <w:rFonts w:hint="eastAsia" w:ascii="宋体" w:hAnsi="Times New Roman" w:eastAsia="宋体" w:cs="Times New Roman"/>
          <w:color w:val="auto"/>
          <w:highlight w:val="none"/>
          <w:lang w:val="en-US" w:eastAsia="zh-CN"/>
        </w:rPr>
        <w:t>危险废物</w:t>
      </w:r>
      <w:r>
        <w:rPr>
          <w:rFonts w:hint="eastAsia" w:ascii="宋体" w:hAnsi="Times New Roman" w:eastAsia="宋体" w:cs="Times New Roman"/>
          <w:color w:val="auto"/>
          <w:highlight w:val="none"/>
          <w:lang w:eastAsia="zh-CN"/>
        </w:rPr>
        <w:t>，建设单位加强对危险废物转移和处置的管理，</w:t>
      </w:r>
      <w:r>
        <w:rPr>
          <w:rFonts w:hint="eastAsia" w:ascii="宋体" w:hAnsi="Times New Roman" w:eastAsia="宋体" w:cs="Times New Roman"/>
          <w:color w:val="auto"/>
          <w:highlight w:val="none"/>
          <w:lang w:val="en-US" w:eastAsia="zh-CN"/>
        </w:rPr>
        <w:t>采取如下措施：</w:t>
      </w:r>
    </w:p>
    <w:p>
      <w:pPr>
        <w:bidi w:val="0"/>
        <w:rPr>
          <w:color w:val="auto"/>
          <w:highlight w:val="none"/>
        </w:rPr>
      </w:pPr>
      <w:r>
        <w:rPr>
          <w:color w:val="auto"/>
          <w:highlight w:val="none"/>
        </w:rPr>
        <w:t>①建设单位在转移危险废物前，须按照国家有关规定报批危险废物转移计划；经批准后，应当向移出地环境保护行政主管部门申请领取联单。在危险废物转移前三日内报告移出地环境保护行政主管部门，并同时将预期到达时间报告接受地环境保护行政主管部门。</w:t>
      </w:r>
    </w:p>
    <w:p>
      <w:pPr>
        <w:bidi w:val="0"/>
        <w:rPr>
          <w:color w:val="auto"/>
          <w:highlight w:val="none"/>
        </w:rPr>
      </w:pPr>
      <w:r>
        <w:rPr>
          <w:color w:val="auto"/>
          <w:highlight w:val="none"/>
        </w:rPr>
        <w:t>②危险废物的运输应采取危险废物转移联单制度，保证运输安全，防止非法转移和非法处置，保证危险废物的安全监控，防止危险废物污染事故发生。</w:t>
      </w:r>
    </w:p>
    <w:p>
      <w:pPr>
        <w:bidi w:val="0"/>
        <w:rPr>
          <w:color w:val="auto"/>
          <w:highlight w:val="none"/>
        </w:rPr>
      </w:pPr>
      <w:r>
        <w:rPr>
          <w:color w:val="auto"/>
          <w:highlight w:val="none"/>
        </w:rPr>
        <w:t>③建设单位每转移一车、船</w:t>
      </w:r>
      <w:r>
        <w:rPr>
          <w:rFonts w:hint="eastAsia"/>
          <w:color w:val="auto"/>
          <w:highlight w:val="none"/>
          <w:lang w:eastAsia="zh-CN"/>
        </w:rPr>
        <w:t>（</w:t>
      </w:r>
      <w:r>
        <w:rPr>
          <w:color w:val="auto"/>
          <w:highlight w:val="none"/>
        </w:rPr>
        <w:t>次） 同类危险废物，应当填写一份联单。每车、船</w:t>
      </w:r>
      <w:r>
        <w:rPr>
          <w:rFonts w:hint="eastAsia"/>
          <w:color w:val="auto"/>
          <w:highlight w:val="none"/>
          <w:lang w:eastAsia="zh-CN"/>
        </w:rPr>
        <w:t>（</w:t>
      </w:r>
      <w:r>
        <w:rPr>
          <w:color w:val="auto"/>
          <w:highlight w:val="none"/>
        </w:rPr>
        <w:t>次）有多类危险废物的，应当按每一类危险废物填写一份联单。</w:t>
      </w:r>
    </w:p>
    <w:p>
      <w:pPr>
        <w:bidi w:val="0"/>
        <w:rPr>
          <w:color w:val="auto"/>
          <w:highlight w:val="none"/>
        </w:rPr>
      </w:pPr>
      <w:r>
        <w:rPr>
          <w:color w:val="auto"/>
          <w:highlight w:val="none"/>
        </w:rPr>
        <w:t>3）转移周期</w:t>
      </w:r>
    </w:p>
    <w:p>
      <w:pPr>
        <w:bidi w:val="0"/>
        <w:rPr>
          <w:color w:val="auto"/>
          <w:highlight w:val="none"/>
        </w:rPr>
      </w:pPr>
      <w:r>
        <w:rPr>
          <w:color w:val="auto"/>
          <w:highlight w:val="none"/>
        </w:rPr>
        <w:t>根据建设单位提供资料，危废暂存间储存</w:t>
      </w:r>
      <w:r>
        <w:rPr>
          <w:rFonts w:hint="eastAsia"/>
          <w:color w:val="auto"/>
          <w:highlight w:val="none"/>
          <w:lang w:val="en-US" w:eastAsia="zh-CN"/>
        </w:rPr>
        <w:t>3-6个月</w:t>
      </w:r>
      <w:r>
        <w:rPr>
          <w:color w:val="auto"/>
          <w:highlight w:val="none"/>
        </w:rPr>
        <w:t>危险固废即应进行转移处置。</w:t>
      </w:r>
    </w:p>
    <w:p>
      <w:pPr>
        <w:bidi w:val="0"/>
        <w:rPr>
          <w:color w:val="auto"/>
          <w:highlight w:val="none"/>
        </w:rPr>
      </w:pPr>
      <w:r>
        <w:rPr>
          <w:color w:val="auto"/>
          <w:highlight w:val="none"/>
        </w:rPr>
        <w:t>4）危险废物台账管理</w:t>
      </w:r>
    </w:p>
    <w:p>
      <w:pPr>
        <w:bidi w:val="0"/>
        <w:rPr>
          <w:rFonts w:ascii="Times New Roman" w:hAnsi="Times New Roman" w:eastAsia="宋体" w:cs="Times New Roman"/>
          <w:color w:val="auto"/>
          <w:spacing w:val="0"/>
          <w:w w:val="99"/>
          <w:position w:val="0"/>
          <w:szCs w:val="24"/>
          <w:highlight w:val="none"/>
        </w:rPr>
      </w:pPr>
      <w:r>
        <w:rPr>
          <w:color w:val="auto"/>
          <w:highlight w:val="none"/>
        </w:rPr>
        <w:t>①根据危险废物产生后不同的管理流程，在产生、贮存、利用、处置等环节建立有关危险废物的台账记录表</w:t>
      </w:r>
      <w:r>
        <w:rPr>
          <w:rFonts w:hint="eastAsia"/>
          <w:color w:val="auto"/>
          <w:highlight w:val="none"/>
          <w:lang w:eastAsia="zh-CN"/>
        </w:rPr>
        <w:t>（</w:t>
      </w:r>
      <w:r>
        <w:rPr>
          <w:color w:val="auto"/>
          <w:highlight w:val="none"/>
        </w:rPr>
        <w:t>或生产报表）。如实记录危险废物产生、贮存、利用和处置等各个环节的情况。对于危险废物产生频繁，每批均进行记录负担过重的情形，如果从废物产生部门到贮存库/场的过程可以控制，有效防止废物非法流失，则在批量完成后进行统一和分类统计。在危险废物产生环节，可以按重量、体积、袋或桶的方式记录危险废物数量。危险废物转移出产生单位时或在产生单位内部利用处置时，原则上要求称重。</w:t>
      </w:r>
    </w:p>
    <w:p>
      <w:pPr>
        <w:bidi w:val="0"/>
        <w:rPr>
          <w:color w:val="auto"/>
          <w:highlight w:val="none"/>
        </w:rPr>
      </w:pPr>
      <w:r>
        <w:rPr>
          <w:color w:val="auto"/>
          <w:highlight w:val="none"/>
        </w:rPr>
        <w:t>②定期</w:t>
      </w:r>
      <w:r>
        <w:rPr>
          <w:rFonts w:hint="eastAsia"/>
          <w:color w:val="auto"/>
          <w:highlight w:val="none"/>
          <w:lang w:eastAsia="zh-CN"/>
        </w:rPr>
        <w:t>（</w:t>
      </w:r>
      <w:r>
        <w:rPr>
          <w:color w:val="auto"/>
          <w:highlight w:val="none"/>
        </w:rPr>
        <w:t>如按月、季或年）汇总危险废物台账记录表</w:t>
      </w:r>
      <w:r>
        <w:rPr>
          <w:rFonts w:hint="eastAsia"/>
          <w:color w:val="auto"/>
          <w:highlight w:val="none"/>
          <w:lang w:eastAsia="zh-CN"/>
        </w:rPr>
        <w:t>（</w:t>
      </w:r>
      <w:r>
        <w:rPr>
          <w:color w:val="auto"/>
          <w:highlight w:val="none"/>
        </w:rPr>
        <w:t>或称生产报表），形成周期性报表。报表应当按所产生危险废物的种类反映其产生情况以及库存情况。按所产生危险废物的种类以及利用处置方式反映内部自行利用处置情况与提供和委托外单位利用处置情况。</w:t>
      </w:r>
    </w:p>
    <w:p>
      <w:pPr>
        <w:bidi w:val="0"/>
        <w:rPr>
          <w:color w:val="auto"/>
          <w:highlight w:val="none"/>
        </w:rPr>
      </w:pPr>
      <w:r>
        <w:rPr>
          <w:color w:val="auto"/>
          <w:highlight w:val="none"/>
        </w:rPr>
        <w:t>③汇总危险废物台账报表，以及危险废物产生工序调查表及工序图、危险废物特性表、危险废物产生情况一览表、委托利用处置合同等，形成完整的危险废物台账。</w:t>
      </w:r>
    </w:p>
    <w:p>
      <w:pPr>
        <w:bidi w:val="0"/>
        <w:rPr>
          <w:color w:val="auto"/>
          <w:highlight w:val="none"/>
        </w:rPr>
      </w:pPr>
      <w:r>
        <w:rPr>
          <w:color w:val="auto"/>
          <w:highlight w:val="none"/>
        </w:rPr>
        <w:t>5）其他要求</w:t>
      </w:r>
    </w:p>
    <w:p>
      <w:pPr>
        <w:bidi w:val="0"/>
        <w:rPr>
          <w:color w:val="auto"/>
          <w:highlight w:val="none"/>
        </w:rPr>
      </w:pPr>
      <w:r>
        <w:rPr>
          <w:color w:val="auto"/>
          <w:highlight w:val="none"/>
        </w:rPr>
        <w:t>①由专人负责危废的日常收集和管理，对任何进出临时贮存所的危废都要记录在案，做好危险废物排放量及处置记录。</w:t>
      </w:r>
    </w:p>
    <w:p>
      <w:pPr>
        <w:bidi w:val="0"/>
        <w:rPr>
          <w:color w:val="auto"/>
          <w:highlight w:val="none"/>
        </w:rPr>
      </w:pPr>
      <w:r>
        <w:rPr>
          <w:color w:val="auto"/>
          <w:highlight w:val="none"/>
        </w:rPr>
        <w:t>②危险废物运输应由持有危险废物经营许可证的单位按照其许可证的经营范围组织实施，承担危险废物运输的单位应获得交通运输部门颁发的危险货物运输资质。</w:t>
      </w:r>
    </w:p>
    <w:p>
      <w:pPr>
        <w:bidi w:val="0"/>
        <w:rPr>
          <w:rFonts w:ascii="Times New Roman" w:hAnsi="Times New Roman" w:eastAsia="宋体" w:cs="Times New Roman"/>
          <w:color w:val="auto"/>
          <w:spacing w:val="0"/>
          <w:w w:val="99"/>
          <w:position w:val="0"/>
          <w:szCs w:val="24"/>
          <w:highlight w:val="none"/>
        </w:rPr>
      </w:pPr>
      <w:r>
        <w:rPr>
          <w:color w:val="auto"/>
          <w:highlight w:val="none"/>
        </w:rPr>
        <w:t>③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采取以上措施的情况下，本项目产生的危废对环境产生影响较小。</w:t>
      </w:r>
    </w:p>
    <w:p>
      <w:pPr>
        <w:bidi w:val="0"/>
        <w:rPr>
          <w:color w:val="auto"/>
          <w:highlight w:val="none"/>
        </w:rPr>
      </w:pPr>
      <w:r>
        <w:rPr>
          <w:rFonts w:hint="eastAsia"/>
          <w:color w:val="auto"/>
          <w:highlight w:val="none"/>
          <w:lang w:eastAsia="zh-CN"/>
        </w:rPr>
        <w:t>（</w:t>
      </w:r>
      <w:r>
        <w:rPr>
          <w:color w:val="auto"/>
          <w:highlight w:val="none"/>
        </w:rPr>
        <w:t>二）一般工业固废</w:t>
      </w:r>
    </w:p>
    <w:p>
      <w:pPr>
        <w:bidi w:val="0"/>
        <w:rPr>
          <w:color w:val="auto"/>
          <w:highlight w:val="none"/>
        </w:rPr>
      </w:pPr>
      <w:r>
        <w:rPr>
          <w:color w:val="auto"/>
          <w:highlight w:val="none"/>
        </w:rPr>
        <w:t>厂区内的一般工业固废收集处建设需严格按照《</w:t>
      </w:r>
      <w:r>
        <w:rPr>
          <w:rFonts w:hint="eastAsia"/>
          <w:color w:val="auto"/>
          <w:highlight w:val="none"/>
        </w:rPr>
        <w:t>一般工业固体废物贮存和填埋污染控制标准</w:t>
      </w:r>
      <w:r>
        <w:rPr>
          <w:color w:val="auto"/>
          <w:highlight w:val="none"/>
        </w:rPr>
        <w:t>》</w:t>
      </w:r>
      <w:r>
        <w:rPr>
          <w:rFonts w:hint="eastAsia"/>
          <w:color w:val="auto"/>
          <w:highlight w:val="none"/>
          <w:lang w:eastAsia="zh-CN"/>
        </w:rPr>
        <w:t>（</w:t>
      </w:r>
      <w:r>
        <w:rPr>
          <w:color w:val="auto"/>
          <w:highlight w:val="none"/>
        </w:rPr>
        <w:t>GB18599-20</w:t>
      </w:r>
      <w:r>
        <w:rPr>
          <w:rFonts w:hint="eastAsia"/>
          <w:color w:val="auto"/>
          <w:highlight w:val="none"/>
          <w:lang w:val="en-US" w:eastAsia="zh-CN"/>
        </w:rPr>
        <w:t>20</w:t>
      </w:r>
      <w:r>
        <w:rPr>
          <w:color w:val="auto"/>
          <w:highlight w:val="none"/>
        </w:rPr>
        <w:t>）和环保部2013年36号公告要求建设及管理，做到</w:t>
      </w:r>
      <w:r>
        <w:rPr>
          <w:rFonts w:hint="eastAsia"/>
          <w:color w:val="auto"/>
          <w:highlight w:val="none"/>
          <w:lang w:eastAsia="zh-CN"/>
        </w:rPr>
        <w:t>“</w:t>
      </w:r>
      <w:r>
        <w:rPr>
          <w:color w:val="auto"/>
          <w:highlight w:val="none"/>
        </w:rPr>
        <w:t>三防</w:t>
      </w:r>
      <w:r>
        <w:rPr>
          <w:rFonts w:hint="eastAsia"/>
          <w:color w:val="auto"/>
          <w:highlight w:val="none"/>
          <w:lang w:eastAsia="zh-CN"/>
        </w:rPr>
        <w:t>”</w:t>
      </w:r>
      <w:r>
        <w:rPr>
          <w:color w:val="auto"/>
          <w:highlight w:val="none"/>
        </w:rPr>
        <w:t>措施。</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三</w:t>
      </w:r>
      <w:r>
        <w:rPr>
          <w:rFonts w:hint="eastAsia"/>
          <w:color w:val="auto"/>
          <w:highlight w:val="none"/>
          <w:lang w:eastAsia="zh-CN"/>
        </w:rPr>
        <w:t>）</w:t>
      </w:r>
      <w:r>
        <w:rPr>
          <w:color w:val="auto"/>
          <w:highlight w:val="none"/>
        </w:rPr>
        <w:t>生活垃圾</w:t>
      </w:r>
    </w:p>
    <w:p>
      <w:pPr>
        <w:bidi w:val="0"/>
        <w:rPr>
          <w:rFonts w:ascii="Times New Roman" w:hAnsi="Times New Roman" w:eastAsia="宋体" w:cs="Times New Roman"/>
          <w:color w:val="auto"/>
          <w:spacing w:val="0"/>
          <w:w w:val="99"/>
          <w:position w:val="0"/>
          <w:szCs w:val="24"/>
          <w:highlight w:val="none"/>
        </w:rPr>
      </w:pPr>
      <w:r>
        <w:rPr>
          <w:color w:val="auto"/>
          <w:highlight w:val="none"/>
        </w:rPr>
        <w:t>生活垃圾收集时拟设置专门的存储设施和场所，存储场所要做好防渗、溢流措施，并应采取设置顶盖等防治降雨</w:t>
      </w:r>
      <w:r>
        <w:rPr>
          <w:rFonts w:hint="eastAsia"/>
          <w:color w:val="auto"/>
          <w:highlight w:val="none"/>
          <w:lang w:eastAsia="zh-CN"/>
        </w:rPr>
        <w:t>（</w:t>
      </w:r>
      <w:r>
        <w:rPr>
          <w:color w:val="auto"/>
          <w:highlight w:val="none"/>
        </w:rPr>
        <w:t>水）的进入；做到及时清运、妥善处理，清运过程严格遵守卫生安全程序，避免沿途遗洒和飘散造成环境污染。</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rFonts w:ascii="Times New Roman" w:hAnsi="Times New Roman" w:cs="Times New Roman"/>
          <w:b/>
          <w:bCs/>
          <w:color w:val="auto"/>
          <w:highlight w:val="none"/>
        </w:rPr>
        <w:t>5.2.</w:t>
      </w:r>
      <w:r>
        <w:rPr>
          <w:rFonts w:hint="eastAsia" w:ascii="Times New Roman" w:hAnsi="Times New Roman" w:cs="Times New Roman"/>
          <w:b/>
          <w:bCs/>
          <w:color w:val="auto"/>
          <w:highlight w:val="none"/>
          <w:lang w:val="en-US" w:eastAsia="zh-CN"/>
        </w:rPr>
        <w:t>4</w:t>
      </w:r>
      <w:r>
        <w:rPr>
          <w:rFonts w:ascii="Times New Roman" w:hAnsi="Times New Roman" w:cs="Times New Roman"/>
          <w:b/>
          <w:bCs/>
          <w:color w:val="auto"/>
          <w:highlight w:val="none"/>
        </w:rPr>
        <w:t>.3小结</w:t>
      </w:r>
    </w:p>
    <w:p>
      <w:pPr>
        <w:bidi w:val="0"/>
        <w:jc w:val="both"/>
        <w:rPr>
          <w:color w:val="auto"/>
          <w:highlight w:val="none"/>
        </w:rPr>
      </w:pPr>
      <w:r>
        <w:rPr>
          <w:rFonts w:ascii="Times New Roman" w:hAnsi="Times New Roman" w:eastAsia="宋体" w:cs="Times New Roman"/>
          <w:color w:val="auto"/>
          <w:highlight w:val="none"/>
        </w:rPr>
        <w:t>本项目工程固体废物包括废水处理生产的污泥、生产过程产生的</w:t>
      </w:r>
      <w:r>
        <w:rPr>
          <w:rFonts w:hint="eastAsia" w:ascii="Times New Roman" w:cs="Times New Roman"/>
          <w:color w:val="auto"/>
          <w:highlight w:val="none"/>
          <w:lang w:val="en-US" w:eastAsia="zh-CN"/>
        </w:rPr>
        <w:t>杂质</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锅炉灰渣、废离子交换树脂、</w:t>
      </w:r>
      <w:r>
        <w:rPr>
          <w:rFonts w:ascii="Times New Roman" w:hAnsi="Times New Roman" w:eastAsia="宋体" w:cs="Times New Roman"/>
          <w:color w:val="auto"/>
          <w:highlight w:val="none"/>
        </w:rPr>
        <w:t>生活垃圾和废</w:t>
      </w:r>
      <w:r>
        <w:rPr>
          <w:rFonts w:hint="eastAsia" w:ascii="Times New Roman" w:hAnsi="Times New Roman" w:eastAsia="宋体" w:cs="Times New Roman"/>
          <w:color w:val="auto"/>
          <w:highlight w:val="none"/>
          <w:lang w:eastAsia="zh-CN"/>
        </w:rPr>
        <w:t>润滑油、</w:t>
      </w:r>
      <w:r>
        <w:rPr>
          <w:rFonts w:hint="eastAsia"/>
          <w:color w:val="auto"/>
          <w:highlight w:val="none"/>
          <w:lang w:eastAsia="zh-CN"/>
        </w:rPr>
        <w:t>废活性炭</w:t>
      </w:r>
      <w:r>
        <w:rPr>
          <w:color w:val="auto"/>
          <w:highlight w:val="none"/>
        </w:rPr>
        <w:t>等。建设单位应认真落实上述各种固体废物分类处置措施，保证各种固体废物得到有效处置，营运期产生的各种固体废物对环境的影响可得到</w:t>
      </w:r>
      <w:r>
        <w:rPr>
          <w:rFonts w:hint="eastAsia"/>
          <w:color w:val="auto"/>
          <w:highlight w:val="none"/>
          <w:lang w:eastAsia="zh-CN"/>
        </w:rPr>
        <w:t>有效地控制</w:t>
      </w:r>
      <w:r>
        <w:rPr>
          <w:color w:val="auto"/>
          <w:highlight w:val="none"/>
        </w:rPr>
        <w:t>，从而避免项目产生的固废对地下水环境和土壤环境造成二次污染。</w:t>
      </w:r>
    </w:p>
    <w:p>
      <w:pPr>
        <w:bidi w:val="0"/>
        <w:rPr>
          <w:color w:val="auto"/>
          <w:highlight w:val="none"/>
        </w:rPr>
      </w:pPr>
      <w:r>
        <w:rPr>
          <w:color w:val="auto"/>
          <w:highlight w:val="none"/>
        </w:rPr>
        <w:t>建议：</w:t>
      </w:r>
    </w:p>
    <w:p>
      <w:pPr>
        <w:bidi w:val="0"/>
        <w:rPr>
          <w:color w:val="auto"/>
          <w:highlight w:val="none"/>
        </w:rPr>
      </w:pPr>
      <w:r>
        <w:rPr>
          <w:color w:val="auto"/>
          <w:highlight w:val="none"/>
        </w:rPr>
        <w:t>①厂家应尽早联系并落实相应有资质的固废处置厂家，并保证在生产前签订委托处置协议，以确保工程投产后，固体废物得到充分处置，减小堆存量，使各类的固体废物均得到</w:t>
      </w:r>
      <w:r>
        <w:rPr>
          <w:rFonts w:hint="eastAsia"/>
          <w:color w:val="auto"/>
          <w:highlight w:val="none"/>
          <w:lang w:eastAsia="zh-CN"/>
        </w:rPr>
        <w:t>妥善地处置</w:t>
      </w:r>
      <w:r>
        <w:rPr>
          <w:color w:val="auto"/>
          <w:highlight w:val="none"/>
        </w:rPr>
        <w:t>，提高项目的社会效益、经济效益和环境效益。</w:t>
      </w:r>
    </w:p>
    <w:p>
      <w:pPr>
        <w:bidi w:val="0"/>
        <w:rPr>
          <w:color w:val="auto"/>
          <w:highlight w:val="none"/>
        </w:rPr>
      </w:pPr>
      <w:r>
        <w:rPr>
          <w:color w:val="auto"/>
          <w:highlight w:val="none"/>
        </w:rPr>
        <w:t>②危险固体废物的收集、运输和处置都应遵守国家有关规定，厂区内按规范设计、 设置危险固体废物临时储存设施，对危险废物的收集、贮存、运输、处置危险废物的设施、场所应设置危险废物识别标志。收集、储存危险废物，必须按照危险废物特性进行分类，收集分类后，进行妥善处置。</w:t>
      </w:r>
    </w:p>
    <w:p>
      <w:pPr>
        <w:pStyle w:val="7"/>
        <w:bidi w:val="0"/>
        <w:rPr>
          <w:color w:val="auto"/>
          <w:highlight w:val="none"/>
        </w:rPr>
      </w:pPr>
      <w:bookmarkStart w:id="1080" w:name="_Toc7538"/>
      <w:r>
        <w:rPr>
          <w:color w:val="auto"/>
          <w:highlight w:val="none"/>
        </w:rPr>
        <w:t>5.2.5地下水影响分析</w:t>
      </w:r>
      <w:bookmarkEnd w:id="1075"/>
      <w:bookmarkEnd w:id="1076"/>
      <w:bookmarkEnd w:id="1077"/>
      <w:bookmarkEnd w:id="1078"/>
      <w:bookmarkEnd w:id="1079"/>
      <w:bookmarkEnd w:id="1080"/>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5.2.</w:t>
      </w:r>
      <w:r>
        <w:rPr>
          <w:rFonts w:hint="eastAsia"/>
          <w:b/>
          <w:bCs/>
          <w:color w:val="auto"/>
          <w:highlight w:val="none"/>
        </w:rPr>
        <w:t>5</w:t>
      </w:r>
      <w:r>
        <w:rPr>
          <w:b/>
          <w:bCs/>
          <w:color w:val="auto"/>
          <w:highlight w:val="none"/>
        </w:rPr>
        <w:t>.</w:t>
      </w:r>
      <w:r>
        <w:rPr>
          <w:rFonts w:hint="eastAsia"/>
          <w:b/>
          <w:bCs/>
          <w:color w:val="auto"/>
          <w:highlight w:val="none"/>
        </w:rPr>
        <w:t>1地下水环境受污染的主要途径</w:t>
      </w:r>
    </w:p>
    <w:p>
      <w:pPr>
        <w:bidi w:val="0"/>
        <w:rPr>
          <w:color w:val="auto"/>
          <w:highlight w:val="none"/>
        </w:rPr>
      </w:pPr>
      <w:r>
        <w:rPr>
          <w:color w:val="auto"/>
          <w:highlight w:val="none"/>
        </w:rPr>
        <w:t>地下水受污染途径是多种多样的</w:t>
      </w:r>
      <w:r>
        <w:rPr>
          <w:rFonts w:hint="eastAsia"/>
          <w:color w:val="auto"/>
          <w:highlight w:val="none"/>
          <w:lang w:eastAsia="zh-CN"/>
        </w:rPr>
        <w:t>，</w:t>
      </w:r>
      <w:r>
        <w:rPr>
          <w:color w:val="auto"/>
          <w:highlight w:val="none"/>
        </w:rPr>
        <w:t>大致可分为四类</w:t>
      </w:r>
      <w:r>
        <w:rPr>
          <w:rFonts w:hint="eastAsia"/>
          <w:color w:val="auto"/>
          <w:highlight w:val="none"/>
          <w:lang w:eastAsia="zh-CN"/>
        </w:rPr>
        <w:t>：</w:t>
      </w:r>
    </w:p>
    <w:p>
      <w:pPr>
        <w:bidi w:val="0"/>
        <w:rPr>
          <w:color w:val="auto"/>
          <w:highlight w:val="none"/>
        </w:rPr>
      </w:pPr>
      <w:r>
        <w:rPr>
          <w:rFonts w:hint="eastAsia"/>
          <w:color w:val="auto"/>
          <w:highlight w:val="none"/>
          <w:lang w:eastAsia="zh-CN"/>
        </w:rPr>
        <w:t>（</w:t>
      </w:r>
      <w:r>
        <w:rPr>
          <w:rFonts w:hint="eastAsia"/>
          <w:color w:val="auto"/>
          <w:highlight w:val="none"/>
        </w:rPr>
        <w:t>1）</w:t>
      </w:r>
      <w:r>
        <w:rPr>
          <w:color w:val="auto"/>
          <w:highlight w:val="none"/>
        </w:rPr>
        <w:t>间歇入渗型。大气降水或其它灌溉水使污染物随水通过非饱水带</w:t>
      </w:r>
      <w:r>
        <w:rPr>
          <w:rFonts w:hint="eastAsia"/>
          <w:color w:val="auto"/>
          <w:highlight w:val="none"/>
          <w:lang w:eastAsia="zh-CN"/>
        </w:rPr>
        <w:t>，周期的渗入</w:t>
      </w:r>
      <w:r>
        <w:rPr>
          <w:color w:val="auto"/>
          <w:highlight w:val="none"/>
        </w:rPr>
        <w:t>含水层</w:t>
      </w:r>
      <w:r>
        <w:rPr>
          <w:rFonts w:hint="eastAsia"/>
          <w:color w:val="auto"/>
          <w:highlight w:val="none"/>
          <w:lang w:eastAsia="zh-CN"/>
        </w:rPr>
        <w:t>，</w:t>
      </w:r>
      <w:r>
        <w:rPr>
          <w:color w:val="auto"/>
          <w:highlight w:val="none"/>
        </w:rPr>
        <w:t>主要是污染潜水。淋滤固体废物堆引起的污染</w:t>
      </w:r>
      <w:r>
        <w:rPr>
          <w:rFonts w:hint="eastAsia"/>
          <w:color w:val="auto"/>
          <w:highlight w:val="none"/>
          <w:lang w:eastAsia="zh-CN"/>
        </w:rPr>
        <w:t>，</w:t>
      </w:r>
      <w:r>
        <w:rPr>
          <w:color w:val="auto"/>
          <w:highlight w:val="none"/>
        </w:rPr>
        <w:t>即属于此类。</w:t>
      </w:r>
    </w:p>
    <w:p>
      <w:pPr>
        <w:bidi w:val="0"/>
        <w:rPr>
          <w:color w:val="auto"/>
          <w:highlight w:val="none"/>
        </w:rPr>
      </w:pPr>
      <w:r>
        <w:rPr>
          <w:rFonts w:hint="eastAsia"/>
          <w:color w:val="auto"/>
          <w:highlight w:val="none"/>
          <w:lang w:eastAsia="zh-CN"/>
        </w:rPr>
        <w:t>（</w:t>
      </w:r>
      <w:r>
        <w:rPr>
          <w:rFonts w:hint="eastAsia"/>
          <w:color w:val="auto"/>
          <w:highlight w:val="none"/>
        </w:rPr>
        <w:t>2）</w:t>
      </w:r>
      <w:r>
        <w:rPr>
          <w:color w:val="auto"/>
          <w:highlight w:val="none"/>
        </w:rPr>
        <w:t>连续入渗型。污染物随水不断的渗入含水层</w:t>
      </w:r>
      <w:r>
        <w:rPr>
          <w:rFonts w:hint="eastAsia"/>
          <w:color w:val="auto"/>
          <w:highlight w:val="none"/>
          <w:lang w:eastAsia="zh-CN"/>
        </w:rPr>
        <w:t>，</w:t>
      </w:r>
      <w:r>
        <w:rPr>
          <w:color w:val="auto"/>
          <w:highlight w:val="none"/>
        </w:rPr>
        <w:t>主要也是污染潜水。废水聚集地段</w:t>
      </w:r>
      <w:r>
        <w:rPr>
          <w:rFonts w:hint="eastAsia"/>
          <w:color w:val="auto"/>
          <w:highlight w:val="none"/>
          <w:lang w:eastAsia="zh-CN"/>
        </w:rPr>
        <w:t>（</w:t>
      </w:r>
      <w:r>
        <w:rPr>
          <w:color w:val="auto"/>
          <w:highlight w:val="none"/>
        </w:rPr>
        <w:t>如废水渠</w:t>
      </w:r>
      <w:r>
        <w:rPr>
          <w:rFonts w:hint="eastAsia"/>
          <w:color w:val="auto"/>
          <w:highlight w:val="none"/>
          <w:lang w:eastAsia="zh-CN"/>
        </w:rPr>
        <w:t>，</w:t>
      </w:r>
      <w:r>
        <w:rPr>
          <w:color w:val="auto"/>
          <w:highlight w:val="none"/>
        </w:rPr>
        <w:t>废水池</w:t>
      </w:r>
      <w:r>
        <w:rPr>
          <w:rFonts w:hint="eastAsia"/>
          <w:color w:val="auto"/>
          <w:highlight w:val="none"/>
          <w:lang w:eastAsia="zh-CN"/>
        </w:rPr>
        <w:t>，</w:t>
      </w:r>
      <w:r>
        <w:rPr>
          <w:color w:val="auto"/>
          <w:highlight w:val="none"/>
        </w:rPr>
        <w:t>废水渗井等</w:t>
      </w:r>
      <w:r>
        <w:rPr>
          <w:rFonts w:hint="eastAsia"/>
          <w:color w:val="auto"/>
          <w:highlight w:val="none"/>
          <w:lang w:eastAsia="zh-CN"/>
        </w:rPr>
        <w:t>）</w:t>
      </w:r>
      <w:r>
        <w:rPr>
          <w:color w:val="auto"/>
          <w:highlight w:val="none"/>
        </w:rPr>
        <w:t>和受污染的地表水体连续渗漏造成地下水污染</w:t>
      </w:r>
      <w:r>
        <w:rPr>
          <w:rFonts w:hint="eastAsia"/>
          <w:color w:val="auto"/>
          <w:highlight w:val="none"/>
          <w:lang w:eastAsia="zh-CN"/>
        </w:rPr>
        <w:t>，</w:t>
      </w:r>
      <w:r>
        <w:rPr>
          <w:color w:val="auto"/>
          <w:highlight w:val="none"/>
        </w:rPr>
        <w:t>即属此类。</w:t>
      </w:r>
    </w:p>
    <w:p>
      <w:pPr>
        <w:bidi w:val="0"/>
        <w:rPr>
          <w:color w:val="auto"/>
          <w:highlight w:val="none"/>
        </w:rPr>
      </w:pPr>
      <w:r>
        <w:rPr>
          <w:rFonts w:hint="eastAsia"/>
          <w:color w:val="auto"/>
          <w:highlight w:val="none"/>
          <w:lang w:eastAsia="zh-CN"/>
        </w:rPr>
        <w:t>（</w:t>
      </w:r>
      <w:r>
        <w:rPr>
          <w:rFonts w:hint="eastAsia"/>
          <w:color w:val="auto"/>
          <w:highlight w:val="none"/>
        </w:rPr>
        <w:t>3）</w:t>
      </w:r>
      <w:r>
        <w:rPr>
          <w:color w:val="auto"/>
          <w:highlight w:val="none"/>
        </w:rPr>
        <w:t>越流型。污染物是通过越流的方式从已受污染的含水层</w:t>
      </w:r>
      <w:r>
        <w:rPr>
          <w:rFonts w:hint="eastAsia"/>
          <w:color w:val="auto"/>
          <w:highlight w:val="none"/>
          <w:lang w:eastAsia="zh-CN"/>
        </w:rPr>
        <w:t>（</w:t>
      </w:r>
      <w:r>
        <w:rPr>
          <w:color w:val="auto"/>
          <w:highlight w:val="none"/>
        </w:rPr>
        <w:t>或天然水层</w:t>
      </w:r>
      <w:r>
        <w:rPr>
          <w:rFonts w:hint="eastAsia"/>
          <w:color w:val="auto"/>
          <w:highlight w:val="none"/>
          <w:lang w:eastAsia="zh-CN"/>
        </w:rPr>
        <w:t>）</w:t>
      </w:r>
      <w:r>
        <w:rPr>
          <w:color w:val="auto"/>
          <w:highlight w:val="none"/>
        </w:rPr>
        <w:t>转移到未受污染的含水层</w:t>
      </w:r>
      <w:r>
        <w:rPr>
          <w:rFonts w:hint="eastAsia"/>
          <w:color w:val="auto"/>
          <w:highlight w:val="none"/>
          <w:lang w:eastAsia="zh-CN"/>
        </w:rPr>
        <w:t>（</w:t>
      </w:r>
      <w:r>
        <w:rPr>
          <w:color w:val="auto"/>
          <w:highlight w:val="none"/>
        </w:rPr>
        <w:t>或天然淡水层</w:t>
      </w:r>
      <w:r>
        <w:rPr>
          <w:rFonts w:hint="eastAsia"/>
          <w:color w:val="auto"/>
          <w:highlight w:val="none"/>
          <w:lang w:eastAsia="zh-CN"/>
        </w:rPr>
        <w:t>）</w:t>
      </w:r>
      <w:r>
        <w:rPr>
          <w:color w:val="auto"/>
          <w:highlight w:val="none"/>
        </w:rPr>
        <w:t>。污染物或者通过整个层间</w:t>
      </w:r>
      <w:r>
        <w:rPr>
          <w:rFonts w:hint="eastAsia"/>
          <w:color w:val="auto"/>
          <w:highlight w:val="none"/>
          <w:lang w:eastAsia="zh-CN"/>
        </w:rPr>
        <w:t>，</w:t>
      </w:r>
      <w:r>
        <w:rPr>
          <w:color w:val="auto"/>
          <w:highlight w:val="none"/>
        </w:rPr>
        <w:t>或者通过底层尖灭的天窗</w:t>
      </w:r>
      <w:r>
        <w:rPr>
          <w:rFonts w:hint="eastAsia"/>
          <w:color w:val="auto"/>
          <w:highlight w:val="none"/>
          <w:lang w:eastAsia="zh-CN"/>
        </w:rPr>
        <w:t>，</w:t>
      </w:r>
      <w:r>
        <w:rPr>
          <w:color w:val="auto"/>
          <w:highlight w:val="none"/>
        </w:rPr>
        <w:t>或者通过破损的井管</w:t>
      </w:r>
      <w:r>
        <w:rPr>
          <w:rFonts w:hint="eastAsia"/>
          <w:color w:val="auto"/>
          <w:highlight w:val="none"/>
          <w:lang w:eastAsia="zh-CN"/>
        </w:rPr>
        <w:t>，</w:t>
      </w:r>
      <w:r>
        <w:rPr>
          <w:color w:val="auto"/>
          <w:highlight w:val="none"/>
        </w:rPr>
        <w:t>污染潜水和承压水。地下水的开采改变了越流方向</w:t>
      </w:r>
      <w:r>
        <w:rPr>
          <w:rFonts w:hint="eastAsia"/>
          <w:color w:val="auto"/>
          <w:highlight w:val="none"/>
          <w:lang w:eastAsia="zh-CN"/>
        </w:rPr>
        <w:t>，</w:t>
      </w:r>
      <w:r>
        <w:rPr>
          <w:color w:val="auto"/>
          <w:highlight w:val="none"/>
        </w:rPr>
        <w:t>使已受到污染的潜水进入未受污染的承压水</w:t>
      </w:r>
      <w:r>
        <w:rPr>
          <w:rFonts w:hint="eastAsia"/>
          <w:color w:val="auto"/>
          <w:highlight w:val="none"/>
          <w:lang w:eastAsia="zh-CN"/>
        </w:rPr>
        <w:t>，</w:t>
      </w:r>
      <w:r>
        <w:rPr>
          <w:color w:val="auto"/>
          <w:highlight w:val="none"/>
        </w:rPr>
        <w:t>即属于此类。</w:t>
      </w:r>
    </w:p>
    <w:p>
      <w:pPr>
        <w:bidi w:val="0"/>
        <w:rPr>
          <w:color w:val="auto"/>
          <w:highlight w:val="none"/>
        </w:rPr>
      </w:pPr>
      <w:r>
        <w:rPr>
          <w:rFonts w:hint="eastAsia"/>
          <w:color w:val="auto"/>
          <w:highlight w:val="none"/>
          <w:lang w:eastAsia="zh-CN"/>
        </w:rPr>
        <w:t>（</w:t>
      </w:r>
      <w:r>
        <w:rPr>
          <w:rFonts w:hint="eastAsia"/>
          <w:color w:val="auto"/>
          <w:highlight w:val="none"/>
        </w:rPr>
        <w:t>4）</w:t>
      </w:r>
      <w:r>
        <w:rPr>
          <w:color w:val="auto"/>
          <w:highlight w:val="none"/>
        </w:rPr>
        <w:t>径流型。污染物通过地下径流进入含水层</w:t>
      </w:r>
      <w:r>
        <w:rPr>
          <w:rFonts w:hint="eastAsia"/>
          <w:color w:val="auto"/>
          <w:highlight w:val="none"/>
          <w:lang w:eastAsia="zh-CN"/>
        </w:rPr>
        <w:t>，</w:t>
      </w:r>
      <w:r>
        <w:rPr>
          <w:color w:val="auto"/>
          <w:highlight w:val="none"/>
        </w:rPr>
        <w:t>污染潜水或承压水。污染物通过地下岩溶孔道进入含水层</w:t>
      </w:r>
      <w:r>
        <w:rPr>
          <w:rFonts w:hint="eastAsia"/>
          <w:color w:val="auto"/>
          <w:highlight w:val="none"/>
          <w:lang w:eastAsia="zh-CN"/>
        </w:rPr>
        <w:t>，</w:t>
      </w:r>
      <w:r>
        <w:rPr>
          <w:color w:val="auto"/>
          <w:highlight w:val="none"/>
        </w:rPr>
        <w:t>即属此类.</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w:t>
      </w:r>
      <w:r>
        <w:rPr>
          <w:rFonts w:hint="eastAsia" w:ascii="Times New Roman" w:hAnsi="Times New Roman" w:cs="Times New Roman"/>
          <w:b/>
          <w:bCs/>
          <w:color w:val="auto"/>
          <w:highlight w:val="none"/>
        </w:rPr>
        <w:t>5</w:t>
      </w:r>
      <w:r>
        <w:rPr>
          <w:rFonts w:ascii="Times New Roman" w:hAnsi="Times New Roman" w:cs="Times New Roman"/>
          <w:b/>
          <w:bCs/>
          <w:color w:val="auto"/>
          <w:highlight w:val="none"/>
        </w:rPr>
        <w:t>.</w:t>
      </w:r>
      <w:r>
        <w:rPr>
          <w:rFonts w:hint="eastAsia" w:ascii="Times New Roman" w:hAnsi="Times New Roman" w:cs="Times New Roman"/>
          <w:b/>
          <w:bCs/>
          <w:color w:val="auto"/>
          <w:highlight w:val="none"/>
          <w:lang w:val="en-US" w:eastAsia="zh-CN"/>
        </w:rPr>
        <w:t>2</w:t>
      </w:r>
      <w:r>
        <w:rPr>
          <w:rFonts w:hint="eastAsia" w:ascii="Times New Roman" w:hAnsi="Times New Roman" w:cs="Times New Roman"/>
          <w:b/>
          <w:bCs/>
          <w:color w:val="auto"/>
          <w:highlight w:val="none"/>
        </w:rPr>
        <w:t>项目对周边地下水环境影响分析</w:t>
      </w:r>
    </w:p>
    <w:p>
      <w:pPr>
        <w:numPr>
          <w:ilvl w:val="0"/>
          <w:numId w:val="3"/>
        </w:numPr>
        <w:bidi w:val="0"/>
        <w:rPr>
          <w:rFonts w:hint="eastAsia"/>
          <w:color w:val="auto"/>
          <w:highlight w:val="none"/>
        </w:rPr>
      </w:pPr>
      <w:r>
        <w:rPr>
          <w:color w:val="auto"/>
          <w:highlight w:val="none"/>
        </w:rPr>
        <w:t>正常情况</w:t>
      </w:r>
      <w:r>
        <w:rPr>
          <w:rFonts w:hint="eastAsia"/>
          <w:color w:val="auto"/>
          <w:highlight w:val="none"/>
        </w:rPr>
        <w:t>对地下水环境影响分析</w:t>
      </w:r>
    </w:p>
    <w:p>
      <w:pPr>
        <w:bidi w:val="0"/>
        <w:rPr>
          <w:rFonts w:hint="eastAsia"/>
          <w:color w:val="auto"/>
          <w:highlight w:val="none"/>
        </w:rPr>
      </w:pPr>
      <w:r>
        <w:rPr>
          <w:rFonts w:hint="eastAsia"/>
          <w:color w:val="auto"/>
          <w:highlight w:val="none"/>
        </w:rPr>
        <w:t>建设单位</w:t>
      </w:r>
      <w:r>
        <w:rPr>
          <w:color w:val="auto"/>
          <w:highlight w:val="none"/>
        </w:rPr>
        <w:t>严格按照报告中提出的</w:t>
      </w:r>
      <w:r>
        <w:rPr>
          <w:rFonts w:hint="eastAsia"/>
          <w:color w:val="auto"/>
          <w:highlight w:val="none"/>
          <w:lang w:eastAsia="zh-CN"/>
        </w:rPr>
        <w:t>“</w:t>
      </w:r>
      <w:r>
        <w:rPr>
          <w:color w:val="auto"/>
          <w:highlight w:val="none"/>
        </w:rPr>
        <w:t>源头控制、分区防控、污染监控、应急响应</w:t>
      </w:r>
      <w:r>
        <w:rPr>
          <w:rFonts w:hint="eastAsia"/>
          <w:color w:val="auto"/>
          <w:highlight w:val="none"/>
          <w:lang w:eastAsia="zh-CN"/>
        </w:rPr>
        <w:t>”</w:t>
      </w:r>
      <w:r>
        <w:rPr>
          <w:color w:val="auto"/>
          <w:highlight w:val="none"/>
        </w:rPr>
        <w:t>原则，采取地下防渗措施，厂区地面进行硬化的基础上，一般情况下污水不会渗漏并进入地下，对地下水不会造成污染。</w:t>
      </w:r>
      <w:r>
        <w:rPr>
          <w:rFonts w:hint="eastAsia"/>
          <w:color w:val="auto"/>
          <w:highlight w:val="none"/>
        </w:rPr>
        <w:t>项目正常运行过程中可有效防止污染物泄露，避免对地下水环境产生不良影响。</w:t>
      </w:r>
    </w:p>
    <w:p>
      <w:pPr>
        <w:bidi w:val="0"/>
        <w:rPr>
          <w:rFonts w:hint="eastAsia"/>
          <w:color w:val="auto"/>
          <w:highlight w:val="none"/>
        </w:rPr>
      </w:pPr>
      <w:r>
        <w:rPr>
          <w:rFonts w:hint="eastAsia"/>
          <w:color w:val="auto"/>
          <w:highlight w:val="none"/>
          <w:lang w:eastAsia="zh-CN"/>
        </w:rPr>
        <w:t>（二）</w:t>
      </w:r>
      <w:r>
        <w:rPr>
          <w:rFonts w:hint="eastAsia"/>
          <w:color w:val="auto"/>
          <w:highlight w:val="none"/>
        </w:rPr>
        <w:t>事故情况对地下水环境的影响分析</w:t>
      </w:r>
    </w:p>
    <w:p>
      <w:pPr>
        <w:bidi w:val="0"/>
        <w:rPr>
          <w:color w:val="auto"/>
          <w:highlight w:val="none"/>
        </w:rPr>
      </w:pPr>
      <w:r>
        <w:rPr>
          <w:color w:val="auto"/>
          <w:highlight w:val="none"/>
        </w:rPr>
        <w:t>考虑到非正常情况下，建设项目的工艺设备或地下水环境保护措施因系统老化、腐蚀等原因不能正常运行或保护效果达不到设计要求时的运行状况，导致污水或物料</w:t>
      </w:r>
      <w:r>
        <w:rPr>
          <w:rFonts w:hint="eastAsia"/>
          <w:color w:val="auto"/>
          <w:highlight w:val="none"/>
          <w:lang w:eastAsia="zh-CN"/>
        </w:rPr>
        <w:t>“</w:t>
      </w:r>
      <w:r>
        <w:rPr>
          <w:color w:val="auto"/>
          <w:highlight w:val="none"/>
        </w:rPr>
        <w:t>跑冒滴漏</w:t>
      </w:r>
      <w:r>
        <w:rPr>
          <w:rFonts w:hint="eastAsia"/>
          <w:color w:val="auto"/>
          <w:highlight w:val="none"/>
          <w:lang w:eastAsia="zh-CN"/>
        </w:rPr>
        <w:t>”</w:t>
      </w:r>
      <w:r>
        <w:rPr>
          <w:color w:val="auto"/>
          <w:highlight w:val="none"/>
        </w:rPr>
        <w:t>对第四系松散岩类孔隙潜水的影响。预测情况如下：</w:t>
      </w:r>
    </w:p>
    <w:p>
      <w:pPr>
        <w:numPr>
          <w:ilvl w:val="0"/>
          <w:numId w:val="4"/>
        </w:numPr>
        <w:bidi w:val="0"/>
        <w:rPr>
          <w:rFonts w:hint="eastAsia"/>
          <w:color w:val="auto"/>
          <w:highlight w:val="none"/>
        </w:rPr>
      </w:pPr>
      <w:r>
        <w:rPr>
          <w:rFonts w:hint="eastAsia"/>
          <w:color w:val="auto"/>
          <w:highlight w:val="none"/>
        </w:rPr>
        <w:t>预测因子：</w:t>
      </w:r>
    </w:p>
    <w:p>
      <w:pPr>
        <w:bidi w:val="0"/>
        <w:rPr>
          <w:rFonts w:hint="eastAsia"/>
          <w:color w:val="auto"/>
          <w:highlight w:val="none"/>
        </w:rPr>
      </w:pPr>
      <w:r>
        <w:rPr>
          <w:rFonts w:hint="eastAsia"/>
          <w:color w:val="auto"/>
          <w:highlight w:val="none"/>
        </w:rPr>
        <w:t>根据项目工程分析，项目可能导致地下水污染的特征因子为COD和氨氮等。在根据导则要求选用标准指数法对各项污染因子进行排序，假设</w:t>
      </w:r>
      <w:r>
        <w:rPr>
          <w:rFonts w:hint="eastAsia"/>
          <w:color w:val="auto"/>
          <w:highlight w:val="none"/>
          <w:lang w:eastAsia="zh-CN"/>
        </w:rPr>
        <w:t>曝气</w:t>
      </w:r>
      <w:r>
        <w:rPr>
          <w:rFonts w:hint="eastAsia"/>
          <w:color w:val="auto"/>
          <w:highlight w:val="none"/>
        </w:rPr>
        <w:t>池发生事故，根据工程分析水污染源分析，污染物标准指数排序见下表。</w:t>
      </w:r>
    </w:p>
    <w:p>
      <w:pPr>
        <w:rPr>
          <w:rFonts w:hint="eastAsia" w:ascii="Times New Roman" w:hAnsi="Times New Roman" w:cs="Times New Roman"/>
          <w:color w:val="auto"/>
          <w:highlight w:val="none"/>
        </w:rPr>
      </w:pPr>
      <w:r>
        <w:rPr>
          <w:rFonts w:hint="eastAsia"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5.2.5.2-1</w:t>
      </w:r>
      <w:r>
        <w:rPr>
          <w:rFonts w:hint="eastAsia"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rPr>
        <w:t>各污染物标准指数排序表</w:t>
      </w:r>
    </w:p>
    <w:tbl>
      <w:tblPr>
        <w:tblStyle w:val="23"/>
        <w:tblW w:w="89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012"/>
        <w:gridCol w:w="2012"/>
        <w:gridCol w:w="2012"/>
        <w:gridCol w:w="20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序号</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污染物浓度mg/L</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标准浓度mg/L</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COD</w:t>
            </w:r>
          </w:p>
        </w:tc>
        <w:tc>
          <w:tcPr>
            <w:tcW w:w="201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2800</w:t>
            </w:r>
          </w:p>
        </w:tc>
        <w:tc>
          <w:tcPr>
            <w:tcW w:w="201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3.0</w:t>
            </w:r>
          </w:p>
        </w:tc>
        <w:tc>
          <w:tcPr>
            <w:tcW w:w="201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933.3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氨氮</w:t>
            </w:r>
          </w:p>
        </w:tc>
        <w:tc>
          <w:tcPr>
            <w:tcW w:w="201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15</w:t>
            </w:r>
          </w:p>
        </w:tc>
        <w:tc>
          <w:tcPr>
            <w:tcW w:w="2012"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0.5</w:t>
            </w:r>
          </w:p>
        </w:tc>
        <w:tc>
          <w:tcPr>
            <w:tcW w:w="201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w:t>
            </w:r>
          </w:p>
        </w:tc>
      </w:tr>
    </w:tbl>
    <w:p>
      <w:pPr>
        <w:numPr>
          <w:ilvl w:val="0"/>
          <w:numId w:val="4"/>
        </w:numPr>
        <w:bidi w:val="0"/>
        <w:rPr>
          <w:color w:val="auto"/>
          <w:highlight w:val="none"/>
        </w:rPr>
      </w:pPr>
      <w:r>
        <w:rPr>
          <w:rFonts w:hint="eastAsia"/>
          <w:color w:val="auto"/>
          <w:highlight w:val="none"/>
        </w:rPr>
        <w:t>预测内容</w:t>
      </w:r>
    </w:p>
    <w:p>
      <w:pPr>
        <w:bidi w:val="0"/>
        <w:rPr>
          <w:color w:val="auto"/>
          <w:highlight w:val="none"/>
        </w:rPr>
      </w:pPr>
      <w:r>
        <w:rPr>
          <w:rFonts w:hint="eastAsia"/>
          <w:color w:val="auto"/>
          <w:highlight w:val="none"/>
        </w:rPr>
        <w:t>项目采取分区防渗措施，正常工况下不会对区内地下水水质造成影响。假设非正常工况下集水池防渗层发生泄漏导致污染物通过包气带进入地下水，导致地下水遭受污染。再次状况下预测对地下水造成的影响。</w:t>
      </w:r>
    </w:p>
    <w:p>
      <w:pPr>
        <w:numPr>
          <w:ilvl w:val="0"/>
          <w:numId w:val="4"/>
        </w:numPr>
        <w:bidi w:val="0"/>
        <w:rPr>
          <w:color w:val="auto"/>
          <w:highlight w:val="none"/>
        </w:rPr>
      </w:pPr>
      <w:r>
        <w:rPr>
          <w:rFonts w:hint="eastAsia"/>
          <w:color w:val="auto"/>
          <w:highlight w:val="none"/>
        </w:rPr>
        <w:t>预测范围</w:t>
      </w:r>
    </w:p>
    <w:p>
      <w:pPr>
        <w:bidi w:val="0"/>
        <w:rPr>
          <w:color w:val="auto"/>
          <w:highlight w:val="none"/>
        </w:rPr>
      </w:pPr>
      <w:r>
        <w:rPr>
          <w:color w:val="auto"/>
          <w:highlight w:val="none"/>
        </w:rPr>
        <w:t>根据区域的地下水文特征，确定地下水评价范围为场地上游600m、下游860m及两侧各430m构成的区域范围</w:t>
      </w:r>
      <w:r>
        <w:rPr>
          <w:rFonts w:hint="eastAsia"/>
          <w:color w:val="auto"/>
          <w:highlight w:val="none"/>
        </w:rPr>
        <w:t>。</w:t>
      </w:r>
    </w:p>
    <w:p>
      <w:pPr>
        <w:numPr>
          <w:ilvl w:val="0"/>
          <w:numId w:val="4"/>
        </w:numPr>
        <w:bidi w:val="0"/>
        <w:rPr>
          <w:color w:val="auto"/>
          <w:highlight w:val="none"/>
        </w:rPr>
      </w:pPr>
      <w:r>
        <w:rPr>
          <w:rFonts w:hint="eastAsia"/>
          <w:color w:val="auto"/>
          <w:highlight w:val="none"/>
        </w:rPr>
        <w:t>预测模式选择</w:t>
      </w:r>
    </w:p>
    <w:p>
      <w:pPr>
        <w:bidi w:val="0"/>
        <w:rPr>
          <w:rFonts w:hint="eastAsia"/>
          <w:color w:val="auto"/>
          <w:highlight w:val="none"/>
        </w:rPr>
      </w:pPr>
      <w:r>
        <w:rPr>
          <w:rFonts w:hint="eastAsia"/>
          <w:color w:val="auto"/>
          <w:highlight w:val="none"/>
        </w:rPr>
        <w:t>当项目运转出现事故，含有污染物的废水将以渗入的方式进入含水层。建设场地地下水流向呈一维流动，地下水位动态稳定，因此污染物在含水层的迁移，可概化为瞬时注入示踪剂</w:t>
      </w:r>
      <w:r>
        <w:rPr>
          <w:rFonts w:hint="eastAsia"/>
          <w:color w:val="auto"/>
          <w:highlight w:val="none"/>
          <w:lang w:eastAsia="zh-CN"/>
        </w:rPr>
        <w:t>（</w:t>
      </w:r>
      <w:r>
        <w:rPr>
          <w:rFonts w:hint="eastAsia"/>
          <w:color w:val="auto"/>
          <w:highlight w:val="none"/>
        </w:rPr>
        <w:t>平面瞬时点源）的一维稳定流动二维水动力弥散问题，当取平行地下水流动的方向为x轴长方向时，则污染物浓度分布模式如下：</w:t>
      </w:r>
    </w:p>
    <w:p>
      <w:pPr>
        <w:keepNext w:val="0"/>
        <w:keepLines w:val="0"/>
        <w:pageBreakBefore w:val="0"/>
        <w:widowControl w:val="0"/>
        <w:kinsoku/>
        <w:wordWrap/>
        <w:overflowPunct/>
        <w:topLinePunct w:val="0"/>
        <w:bidi w:val="0"/>
        <w:snapToGrid/>
        <w:spacing w:line="240" w:lineRule="auto"/>
        <w:ind w:left="0" w:firstLine="474" w:firstLineChars="200"/>
        <w:textAlignment w:val="auto"/>
        <w:rPr>
          <w:rFonts w:ascii="Times New Roman" w:hAnsi="Times New Roman" w:eastAsia="宋体" w:cs="Times New Roman"/>
          <w:caps w:val="0"/>
          <w:smallCaps w:val="0"/>
          <w:color w:val="auto"/>
          <w:spacing w:val="0"/>
          <w:w w:val="99"/>
          <w:position w:val="0"/>
          <w:highlight w:val="none"/>
        </w:rPr>
      </w:pPr>
      <w:r>
        <w:rPr>
          <w:rFonts w:ascii="Times New Roman" w:hAnsi="Times New Roman" w:eastAsia="宋体" w:cs="Times New Roman"/>
          <w:caps w:val="0"/>
          <w:smallCaps w:val="0"/>
          <w:color w:val="auto"/>
          <w:spacing w:val="0"/>
          <w:w w:val="99"/>
          <w:position w:val="0"/>
          <w:highlight w:val="none"/>
        </w:rPr>
        <w:drawing>
          <wp:inline distT="0" distB="0" distL="114300" distR="114300">
            <wp:extent cx="5064760" cy="1005840"/>
            <wp:effectExtent l="0" t="0" r="2540" b="3810"/>
            <wp:docPr id="3" name="图片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11"/>
                    <pic:cNvPicPr>
                      <a:picLocks noChangeAspect="1"/>
                    </pic:cNvPicPr>
                  </pic:nvPicPr>
                  <pic:blipFill>
                    <a:blip r:embed="rId59"/>
                    <a:stretch>
                      <a:fillRect/>
                    </a:stretch>
                  </pic:blipFill>
                  <pic:spPr>
                    <a:xfrm>
                      <a:off x="0" y="0"/>
                      <a:ext cx="5064760" cy="1005840"/>
                    </a:xfrm>
                    <a:prstGeom prst="rect">
                      <a:avLst/>
                    </a:prstGeom>
                    <a:noFill/>
                    <a:ln>
                      <a:noFill/>
                    </a:ln>
                  </pic:spPr>
                </pic:pic>
              </a:graphicData>
            </a:graphic>
          </wp:inline>
        </w:drawing>
      </w:r>
    </w:p>
    <w:p>
      <w:pPr>
        <w:bidi w:val="0"/>
        <w:rPr>
          <w:color w:val="auto"/>
          <w:highlight w:val="none"/>
        </w:rPr>
      </w:pPr>
      <w:r>
        <w:rPr>
          <w:color w:val="auto"/>
          <w:highlight w:val="none"/>
        </w:rPr>
        <w:t>式中：X</w:t>
      </w:r>
      <w:r>
        <w:rPr>
          <w:rFonts w:hint="eastAsia"/>
          <w:color w:val="auto"/>
          <w:highlight w:val="none"/>
          <w:lang w:eastAsia="zh-CN"/>
        </w:rPr>
        <w:t>，</w:t>
      </w:r>
      <w:r>
        <w:rPr>
          <w:color w:val="auto"/>
          <w:highlight w:val="none"/>
        </w:rPr>
        <w:t>Y——计算点处的位置坐标；</w:t>
      </w:r>
    </w:p>
    <w:p>
      <w:pPr>
        <w:bidi w:val="0"/>
        <w:rPr>
          <w:color w:val="auto"/>
          <w:highlight w:val="none"/>
        </w:rPr>
      </w:pPr>
      <w:r>
        <w:rPr>
          <w:color w:val="auto"/>
          <w:highlight w:val="none"/>
        </w:rPr>
        <w:t>t——时间，d；</w:t>
      </w:r>
    </w:p>
    <w:p>
      <w:pPr>
        <w:bidi w:val="0"/>
        <w:rPr>
          <w:color w:val="auto"/>
          <w:highlight w:val="none"/>
        </w:rPr>
      </w:pPr>
      <w:r>
        <w:rPr>
          <w:color w:val="auto"/>
          <w:highlight w:val="none"/>
        </w:rPr>
        <w:t>C</w:t>
      </w:r>
      <w:r>
        <w:rPr>
          <w:rFonts w:hint="eastAsia"/>
          <w:color w:val="auto"/>
          <w:highlight w:val="none"/>
          <w:lang w:eastAsia="zh-CN"/>
        </w:rPr>
        <w:t>（</w:t>
      </w:r>
      <w:r>
        <w:rPr>
          <w:color w:val="auto"/>
          <w:highlight w:val="none"/>
        </w:rPr>
        <w:t>x，y，t）——t时刻点x</w:t>
      </w:r>
      <w:r>
        <w:rPr>
          <w:rFonts w:hint="eastAsia"/>
          <w:color w:val="auto"/>
          <w:highlight w:val="none"/>
          <w:lang w:eastAsia="zh-CN"/>
        </w:rPr>
        <w:t>，</w:t>
      </w:r>
      <w:r>
        <w:rPr>
          <w:color w:val="auto"/>
          <w:highlight w:val="none"/>
        </w:rPr>
        <w:t>y处的示踪剂浓度，g/L；</w:t>
      </w:r>
    </w:p>
    <w:p>
      <w:pPr>
        <w:bidi w:val="0"/>
        <w:rPr>
          <w:color w:val="auto"/>
          <w:highlight w:val="none"/>
        </w:rPr>
      </w:pPr>
      <w:r>
        <w:rPr>
          <w:color w:val="auto"/>
          <w:highlight w:val="none"/>
        </w:rPr>
        <w:t>M——含水层的厚度，m；</w:t>
      </w:r>
    </w:p>
    <w:p>
      <w:pPr>
        <w:bidi w:val="0"/>
        <w:rPr>
          <w:color w:val="auto"/>
          <w:highlight w:val="none"/>
        </w:rPr>
      </w:pPr>
      <w:r>
        <w:rPr>
          <w:color w:val="auto"/>
          <w:highlight w:val="none"/>
        </w:rPr>
        <w:t>m</w:t>
      </w:r>
      <w:r>
        <w:rPr>
          <w:rFonts w:hint="eastAsia"/>
          <w:color w:val="auto"/>
          <w:highlight w:val="none"/>
          <w:vertAlign w:val="subscript"/>
        </w:rPr>
        <w:t>M</w:t>
      </w:r>
      <w:r>
        <w:rPr>
          <w:color w:val="auto"/>
          <w:highlight w:val="none"/>
        </w:rPr>
        <w:t>——瞬时注入的示踪剂质量，kg；</w:t>
      </w:r>
    </w:p>
    <w:p>
      <w:pPr>
        <w:bidi w:val="0"/>
        <w:rPr>
          <w:color w:val="auto"/>
          <w:highlight w:val="none"/>
        </w:rPr>
      </w:pPr>
      <w:r>
        <w:rPr>
          <w:rFonts w:hint="eastAsia"/>
          <w:color w:val="auto"/>
          <w:highlight w:val="none"/>
        </w:rPr>
        <w:t>u</w:t>
      </w:r>
      <w:r>
        <w:rPr>
          <w:color w:val="auto"/>
          <w:highlight w:val="none"/>
        </w:rPr>
        <w:t>——水流速度，m/d；</w:t>
      </w:r>
    </w:p>
    <w:p>
      <w:pPr>
        <w:bidi w:val="0"/>
        <w:rPr>
          <w:color w:val="auto"/>
          <w:highlight w:val="none"/>
        </w:rPr>
      </w:pPr>
      <w:r>
        <w:rPr>
          <w:color w:val="auto"/>
          <w:highlight w:val="none"/>
        </w:rPr>
        <w:t>ne——有效孔隙度，无量纲；</w:t>
      </w:r>
    </w:p>
    <w:p>
      <w:pPr>
        <w:bidi w:val="0"/>
        <w:rPr>
          <w:color w:val="auto"/>
          <w:highlight w:val="none"/>
        </w:rPr>
      </w:pPr>
      <w:r>
        <w:rPr>
          <w:color w:val="auto"/>
          <w:highlight w:val="none"/>
        </w:rPr>
        <w:t>D</w:t>
      </w:r>
      <w:r>
        <w:rPr>
          <w:color w:val="auto"/>
          <w:highlight w:val="none"/>
          <w:vertAlign w:val="subscript"/>
        </w:rPr>
        <w:t>L</w:t>
      </w:r>
      <w:r>
        <w:rPr>
          <w:color w:val="auto"/>
          <w:highlight w:val="none"/>
        </w:rPr>
        <w:t>——纵向x方向的弥散系数，m</w:t>
      </w:r>
      <w:r>
        <w:rPr>
          <w:color w:val="auto"/>
          <w:highlight w:val="none"/>
          <w:vertAlign w:val="superscript"/>
        </w:rPr>
        <w:t>2</w:t>
      </w:r>
      <w:r>
        <w:rPr>
          <w:color w:val="auto"/>
          <w:highlight w:val="none"/>
        </w:rPr>
        <w:t>/d</w:t>
      </w:r>
      <w:r>
        <w:rPr>
          <w:rFonts w:hint="eastAsia"/>
          <w:color w:val="auto"/>
          <w:highlight w:val="none"/>
        </w:rPr>
        <w:t>；</w:t>
      </w:r>
    </w:p>
    <w:p>
      <w:pPr>
        <w:bidi w:val="0"/>
        <w:rPr>
          <w:color w:val="auto"/>
          <w:highlight w:val="none"/>
        </w:rPr>
      </w:pPr>
      <w:r>
        <w:rPr>
          <w:color w:val="auto"/>
          <w:highlight w:val="none"/>
        </w:rPr>
        <w:t>D</w:t>
      </w:r>
      <w:r>
        <w:rPr>
          <w:color w:val="auto"/>
          <w:highlight w:val="none"/>
          <w:vertAlign w:val="subscript"/>
        </w:rPr>
        <w:t>T</w:t>
      </w:r>
      <w:r>
        <w:rPr>
          <w:color w:val="auto"/>
          <w:highlight w:val="none"/>
        </w:rPr>
        <w:t>——横向y方向的弥散系数，m</w:t>
      </w:r>
      <w:r>
        <w:rPr>
          <w:color w:val="auto"/>
          <w:highlight w:val="none"/>
          <w:vertAlign w:val="superscript"/>
        </w:rPr>
        <w:t>2</w:t>
      </w:r>
      <w:r>
        <w:rPr>
          <w:color w:val="auto"/>
          <w:highlight w:val="none"/>
        </w:rPr>
        <w:t>/d</w:t>
      </w:r>
      <w:r>
        <w:rPr>
          <w:rFonts w:hint="eastAsia"/>
          <w:color w:val="auto"/>
          <w:highlight w:val="none"/>
        </w:rPr>
        <w:t>；</w:t>
      </w:r>
    </w:p>
    <w:p>
      <w:pPr>
        <w:bidi w:val="0"/>
        <w:rPr>
          <w:color w:val="auto"/>
          <w:highlight w:val="none"/>
        </w:rPr>
      </w:pPr>
      <w:r>
        <w:rPr>
          <w:rFonts w:hint="eastAsia"/>
          <w:color w:val="auto"/>
          <w:highlight w:val="none"/>
        </w:rPr>
        <w:t>π</w:t>
      </w:r>
      <w:r>
        <w:rPr>
          <w:color w:val="auto"/>
          <w:highlight w:val="none"/>
        </w:rPr>
        <w:t>——圆周率</w:t>
      </w:r>
      <w:r>
        <w:rPr>
          <w:rFonts w:hint="eastAsia"/>
          <w:color w:val="auto"/>
          <w:highlight w:val="none"/>
        </w:rPr>
        <w:t>。</w:t>
      </w:r>
    </w:p>
    <w:p>
      <w:pPr>
        <w:bidi w:val="0"/>
        <w:rPr>
          <w:color w:val="auto"/>
          <w:highlight w:val="none"/>
        </w:rPr>
      </w:pPr>
      <w:r>
        <w:rPr>
          <w:rFonts w:hint="eastAsia"/>
          <w:color w:val="auto"/>
          <w:highlight w:val="none"/>
        </w:rPr>
        <w:t>模式参数选取</w:t>
      </w:r>
    </w:p>
    <w:p>
      <w:pPr>
        <w:bidi w:val="0"/>
        <w:rPr>
          <w:rFonts w:hint="eastAsia"/>
          <w:color w:val="auto"/>
          <w:highlight w:val="none"/>
        </w:rPr>
      </w:pPr>
      <w:r>
        <w:rPr>
          <w:rFonts w:hint="eastAsia"/>
          <w:color w:val="auto"/>
          <w:highlight w:val="none"/>
        </w:rPr>
        <w:t>根据项目所在区域地质与水文地质条件，预测参数取值见下表。</w:t>
      </w:r>
    </w:p>
    <w:p>
      <w:pPr>
        <w:bidi w:val="0"/>
        <w:rPr>
          <w:rFonts w:hint="eastAsia"/>
          <w:color w:val="auto"/>
          <w:highlight w:val="none"/>
        </w:rPr>
      </w:pPr>
      <w:r>
        <w:rPr>
          <w:rFonts w:hint="eastAsia"/>
          <w:color w:val="auto"/>
          <w:highlight w:val="none"/>
        </w:rPr>
        <w:t>表</w:t>
      </w:r>
      <w:r>
        <w:rPr>
          <w:rFonts w:hint="eastAsia" w:ascii="Times New Roman" w:hAnsi="Times New Roman" w:cs="Times New Roman"/>
          <w:color w:val="auto"/>
          <w:highlight w:val="none"/>
          <w:lang w:val="en-US" w:eastAsia="zh-CN"/>
        </w:rPr>
        <w:t>5.2.5.2-2</w:t>
      </w:r>
      <w:r>
        <w:rPr>
          <w:rFonts w:hint="eastAsia"/>
          <w:color w:val="auto"/>
          <w:highlight w:val="none"/>
        </w:rPr>
        <w:t xml:space="preserve">  </w:t>
      </w:r>
      <w:r>
        <w:rPr>
          <w:rFonts w:hint="eastAsia"/>
          <w:color w:val="auto"/>
          <w:highlight w:val="none"/>
          <w:lang w:val="en-US" w:eastAsia="zh-CN"/>
        </w:rPr>
        <w:t xml:space="preserve">            </w:t>
      </w:r>
      <w:r>
        <w:rPr>
          <w:rFonts w:hint="eastAsia"/>
          <w:color w:val="auto"/>
          <w:highlight w:val="none"/>
        </w:rPr>
        <w:t>地下水各参数取值</w:t>
      </w:r>
    </w:p>
    <w:tbl>
      <w:tblPr>
        <w:tblStyle w:val="23"/>
        <w:tblW w:w="90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1"/>
        <w:gridCol w:w="1812"/>
        <w:gridCol w:w="1812"/>
        <w:gridCol w:w="1812"/>
        <w:gridCol w:w="18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181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含水层厚度M</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有效孔隙度ne</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水流速度u</w:t>
            </w:r>
          </w:p>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m/d）</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纵向弥散系数</w:t>
            </w:r>
            <w:r>
              <w:rPr>
                <w:rFonts w:hint="eastAsia" w:ascii="Times New Roman" w:hAnsi="Times New Roman" w:eastAsia="宋体" w:cs="Times New Roman"/>
                <w:color w:val="auto"/>
                <w:w w:val="100"/>
                <w:sz w:val="21"/>
                <w:highlight w:val="none"/>
              </w:rPr>
              <w:t>D</w:t>
            </w:r>
            <w:r>
              <w:rPr>
                <w:rFonts w:hint="eastAsia" w:ascii="Times New Roman" w:hAnsi="Times New Roman" w:eastAsia="宋体" w:cs="Times New Roman"/>
                <w:color w:val="auto"/>
                <w:w w:val="100"/>
                <w:sz w:val="21"/>
                <w:highlight w:val="none"/>
                <w:vertAlign w:val="subscript"/>
              </w:rPr>
              <w:t>L</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r>
              <w:rPr>
                <w:rFonts w:ascii="Times New Roman" w:hAnsi="Times New Roman" w:eastAsia="宋体" w:cs="Times New Roman"/>
                <w:color w:val="auto"/>
                <w:w w:val="100"/>
                <w:sz w:val="21"/>
                <w:highlight w:val="none"/>
                <w:vertAlign w:val="superscript"/>
              </w:rPr>
              <w:t>2</w:t>
            </w:r>
            <w:r>
              <w:rPr>
                <w:rFonts w:ascii="Times New Roman" w:hAnsi="Times New Roman" w:eastAsia="宋体" w:cs="Times New Roman"/>
                <w:color w:val="auto"/>
                <w:w w:val="100"/>
                <w:sz w:val="21"/>
                <w:highlight w:val="none"/>
              </w:rPr>
              <w:t>/d）</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横向弥散系数</w:t>
            </w:r>
            <w:r>
              <w:rPr>
                <w:rFonts w:hint="eastAsia" w:ascii="Times New Roman" w:hAnsi="Times New Roman" w:eastAsia="宋体" w:cs="Times New Roman"/>
                <w:color w:val="auto"/>
                <w:w w:val="100"/>
                <w:sz w:val="21"/>
                <w:highlight w:val="none"/>
              </w:rPr>
              <w:t>D</w:t>
            </w:r>
            <w:r>
              <w:rPr>
                <w:rFonts w:hint="eastAsia" w:ascii="Times New Roman" w:hAnsi="Times New Roman" w:eastAsia="宋体" w:cs="Times New Roman"/>
                <w:color w:val="auto"/>
                <w:w w:val="100"/>
                <w:sz w:val="21"/>
                <w:highlight w:val="none"/>
                <w:vertAlign w:val="subscript"/>
              </w:rPr>
              <w:t>T</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r>
              <w:rPr>
                <w:rFonts w:ascii="Times New Roman" w:hAnsi="Times New Roman" w:eastAsia="宋体" w:cs="Times New Roman"/>
                <w:color w:val="auto"/>
                <w:w w:val="100"/>
                <w:sz w:val="21"/>
                <w:highlight w:val="none"/>
                <w:vertAlign w:val="superscript"/>
              </w:rPr>
              <w:t>2</w:t>
            </w:r>
            <w:r>
              <w:rPr>
                <w:rFonts w:ascii="Times New Roman" w:hAnsi="Times New Roman" w:eastAsia="宋体" w:cs="Times New Roman"/>
                <w:color w:val="auto"/>
                <w:w w:val="100"/>
                <w:sz w:val="21"/>
                <w:highlight w:val="none"/>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811"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7.5</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0.465</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0.00162</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0.5</w:t>
            </w:r>
          </w:p>
        </w:tc>
        <w:tc>
          <w:tcPr>
            <w:tcW w:w="181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0.03</w:t>
            </w:r>
          </w:p>
        </w:tc>
      </w:tr>
    </w:tbl>
    <w:p>
      <w:pPr>
        <w:numPr>
          <w:ilvl w:val="0"/>
          <w:numId w:val="4"/>
        </w:numPr>
        <w:bidi w:val="0"/>
        <w:rPr>
          <w:color w:val="auto"/>
          <w:highlight w:val="none"/>
        </w:rPr>
      </w:pPr>
      <w:r>
        <w:rPr>
          <w:color w:val="auto"/>
          <w:highlight w:val="none"/>
        </w:rPr>
        <w:t>预测源强</w:t>
      </w:r>
      <w:r>
        <w:rPr>
          <w:rFonts w:hint="eastAsia"/>
          <w:color w:val="auto"/>
          <w:highlight w:val="none"/>
          <w:lang w:eastAsia="zh-CN"/>
        </w:rPr>
        <w:t>（</w:t>
      </w:r>
      <w:r>
        <w:rPr>
          <w:rFonts w:hint="eastAsia"/>
          <w:color w:val="auto"/>
          <w:highlight w:val="none"/>
        </w:rPr>
        <w:t>瞬间注入的示踪剂质量mM）计算</w:t>
      </w:r>
      <w:r>
        <w:rPr>
          <w:color w:val="auto"/>
          <w:highlight w:val="none"/>
        </w:rPr>
        <w:t>：</w:t>
      </w:r>
    </w:p>
    <w:p>
      <w:pPr>
        <w:bidi w:val="0"/>
        <w:rPr>
          <w:color w:val="auto"/>
          <w:highlight w:val="none"/>
        </w:rPr>
      </w:pPr>
      <w:r>
        <w:rPr>
          <w:color w:val="auto"/>
          <w:highlight w:val="none"/>
        </w:rPr>
        <w:t>本项目污水处理站中各池体泄漏均对地下水产生影响，正常运营状态下不会有污水泄漏，当建设项目的工艺设备或地下水环境保护措施因系统老化、腐蚀等原因不能正常运行或保护效果达不到设计要求时，可能造成污水泄漏。</w:t>
      </w:r>
    </w:p>
    <w:p>
      <w:pPr>
        <w:keepNext w:val="0"/>
        <w:keepLines w:val="0"/>
        <w:pageBreakBefore w:val="0"/>
        <w:widowControl w:val="0"/>
        <w:kinsoku/>
        <w:wordWrap/>
        <w:overflowPunct/>
        <w:topLinePunct w:val="0"/>
        <w:autoSpaceDE w:val="0"/>
        <w:autoSpaceDN w:val="0"/>
        <w:bidi w:val="0"/>
        <w:adjustRightInd/>
        <w:snapToGrid/>
        <w:jc w:val="left"/>
        <w:textAlignment w:val="auto"/>
        <w:rPr>
          <w:color w:val="auto"/>
          <w:highlight w:val="none"/>
        </w:rPr>
      </w:pPr>
      <w:r>
        <w:rPr>
          <w:color w:val="auto"/>
          <w:highlight w:val="none"/>
        </w:rPr>
        <w:t>结合项目的特点，因此，若</w:t>
      </w:r>
      <w:r>
        <w:rPr>
          <w:rFonts w:hint="eastAsia"/>
          <w:color w:val="auto"/>
          <w:highlight w:val="none"/>
          <w:lang w:eastAsia="zh-CN"/>
        </w:rPr>
        <w:t>曝气池</w:t>
      </w:r>
      <w:r>
        <w:rPr>
          <w:color w:val="auto"/>
          <w:highlight w:val="none"/>
        </w:rPr>
        <w:t>泄漏对地下水影响最大，从最大风险原则考虑，非正常状况下为沉淀池体破裂和防渗层同时破裂时污水泄漏对地下水水质造成影响。根据《给排水构筑物工程施工及验收规范》，水池允许最大渗水量按池壁和池底浸湿面积计算，钢筋混凝土结构水池渗漏量不得超过2L/</w:t>
      </w:r>
      <w:r>
        <w:rPr>
          <w:rFonts w:hint="eastAsia"/>
          <w:color w:val="auto"/>
          <w:highlight w:val="none"/>
          <w:lang w:eastAsia="zh-CN"/>
        </w:rPr>
        <w:t>（</w:t>
      </w:r>
      <w:r>
        <w:rPr>
          <w:color w:val="auto"/>
          <w:highlight w:val="none"/>
        </w:rPr>
        <w:t>m</w:t>
      </w:r>
      <w:r>
        <w:rPr>
          <w:color w:val="auto"/>
          <w:highlight w:val="none"/>
          <w:vertAlign w:val="superscript"/>
        </w:rPr>
        <w:t>2</w:t>
      </w:r>
      <w:r>
        <w:rPr>
          <w:color w:val="auto"/>
          <w:highlight w:val="none"/>
        </w:rPr>
        <w:t>·d）。在正常状况下，一个沉淀池渗漏面积为：池底面积+池壁面积=L×B+2×B×H+2×L×H=</w:t>
      </w:r>
      <w:r>
        <w:rPr>
          <w:rFonts w:hint="eastAsia"/>
          <w:color w:val="auto"/>
          <w:highlight w:val="none"/>
          <w:lang w:val="en-US" w:eastAsia="zh-CN"/>
        </w:rPr>
        <w:t>20.45x4+2x20.4x5.5+2x4x5.5</w:t>
      </w:r>
      <w:r>
        <w:rPr>
          <w:color w:val="auto"/>
          <w:highlight w:val="none"/>
        </w:rPr>
        <w:t>=</w:t>
      </w:r>
      <w:r>
        <w:rPr>
          <w:rFonts w:hint="eastAsia"/>
          <w:color w:val="auto"/>
          <w:highlight w:val="none"/>
          <w:lang w:val="en-US" w:eastAsia="zh-CN"/>
        </w:rPr>
        <w:t>350.75</w:t>
      </w:r>
      <w:r>
        <w:rPr>
          <w:color w:val="auto"/>
          <w:highlight w:val="none"/>
        </w:rPr>
        <w:t>m</w:t>
      </w:r>
      <w:r>
        <w:rPr>
          <w:color w:val="auto"/>
          <w:highlight w:val="none"/>
          <w:vertAlign w:val="superscript"/>
        </w:rPr>
        <w:t>2</w:t>
      </w:r>
      <w:r>
        <w:rPr>
          <w:color w:val="auto"/>
          <w:highlight w:val="none"/>
        </w:rPr>
        <w:t>，二个沉淀池正常情况下每日的最大允许污水渗透量Q计算如下：渗漏量=渗漏面积×渗漏强度=2L/</w:t>
      </w:r>
      <w:r>
        <w:rPr>
          <w:rFonts w:hint="eastAsia"/>
          <w:color w:val="auto"/>
          <w:highlight w:val="none"/>
          <w:lang w:eastAsia="zh-CN"/>
        </w:rPr>
        <w:t>（</w:t>
      </w:r>
      <w:r>
        <w:rPr>
          <w:color w:val="auto"/>
          <w:highlight w:val="none"/>
        </w:rPr>
        <w:t>m</w:t>
      </w:r>
      <w:r>
        <w:rPr>
          <w:color w:val="auto"/>
          <w:highlight w:val="none"/>
          <w:vertAlign w:val="superscript"/>
        </w:rPr>
        <w:t>2</w:t>
      </w:r>
      <w:r>
        <w:rPr>
          <w:color w:val="auto"/>
          <w:highlight w:val="none"/>
        </w:rPr>
        <w:t>·d）×</w:t>
      </w:r>
      <w:r>
        <w:rPr>
          <w:rFonts w:hint="eastAsia"/>
          <w:color w:val="auto"/>
          <w:highlight w:val="none"/>
          <w:lang w:val="en-US" w:eastAsia="zh-CN"/>
        </w:rPr>
        <w:t>350.75</w:t>
      </w:r>
      <w:r>
        <w:rPr>
          <w:color w:val="auto"/>
          <w:highlight w:val="none"/>
        </w:rPr>
        <w:t>m</w:t>
      </w:r>
      <w:r>
        <w:rPr>
          <w:color w:val="auto"/>
          <w:highlight w:val="none"/>
          <w:vertAlign w:val="superscript"/>
        </w:rPr>
        <w:t>2</w:t>
      </w:r>
      <w:r>
        <w:rPr>
          <w:color w:val="auto"/>
          <w:highlight w:val="none"/>
        </w:rPr>
        <w:t>=</w:t>
      </w:r>
      <w:r>
        <w:rPr>
          <w:rFonts w:hint="eastAsia"/>
          <w:color w:val="auto"/>
          <w:highlight w:val="none"/>
          <w:lang w:val="en-US" w:eastAsia="zh-CN"/>
        </w:rPr>
        <w:t>701.5</w:t>
      </w:r>
      <w:r>
        <w:rPr>
          <w:color w:val="auto"/>
          <w:highlight w:val="none"/>
        </w:rPr>
        <w:t>L/d，本次事故状况下的污染源强按正常状态下的10倍计算；则事故状况下源强如表</w:t>
      </w:r>
      <w:r>
        <w:rPr>
          <w:rFonts w:hint="eastAsia" w:ascii="Times New Roman" w:hAnsi="Times New Roman" w:cs="Times New Roman"/>
          <w:color w:val="auto"/>
          <w:highlight w:val="none"/>
          <w:lang w:val="en-US" w:eastAsia="zh-CN"/>
        </w:rPr>
        <w:t>5.2.5.2-3</w:t>
      </w:r>
      <w:r>
        <w:rPr>
          <w:color w:val="auto"/>
          <w:highlight w:val="none"/>
        </w:rPr>
        <w:t>所示。</w:t>
      </w:r>
    </w:p>
    <w:p>
      <w:pPr>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表5.2.5.2-3              集水池泄漏事故状况下源强</w:t>
      </w:r>
    </w:p>
    <w:tbl>
      <w:tblPr>
        <w:tblStyle w:val="23"/>
        <w:tblW w:w="88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1463"/>
        <w:gridCol w:w="1463"/>
        <w:gridCol w:w="1457"/>
        <w:gridCol w:w="1542"/>
        <w:gridCol w:w="14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6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渗漏面积</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w:t>
            </w:r>
            <w:r>
              <w:rPr>
                <w:rFonts w:ascii="Times New Roman" w:hAnsi="Times New Roman" w:eastAsia="宋体" w:cs="Times New Roman"/>
                <w:color w:val="auto"/>
                <w:w w:val="100"/>
                <w:sz w:val="21"/>
                <w:highlight w:val="none"/>
                <w:vertAlign w:val="superscript"/>
              </w:rPr>
              <w:t>2</w:t>
            </w:r>
            <w:r>
              <w:rPr>
                <w:rFonts w:ascii="Times New Roman" w:hAnsi="Times New Roman" w:eastAsia="宋体" w:cs="Times New Roman"/>
                <w:color w:val="auto"/>
                <w:w w:val="100"/>
                <w:sz w:val="21"/>
                <w:highlight w:val="none"/>
              </w:rPr>
              <w:t>）</w:t>
            </w:r>
          </w:p>
        </w:tc>
        <w:tc>
          <w:tcPr>
            <w:tcW w:w="146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渗漏强度</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L/m</w:t>
            </w:r>
            <w:r>
              <w:rPr>
                <w:rFonts w:ascii="Times New Roman" w:hAnsi="Times New Roman" w:eastAsia="宋体" w:cs="Times New Roman"/>
                <w:color w:val="auto"/>
                <w:w w:val="100"/>
                <w:sz w:val="21"/>
                <w:highlight w:val="none"/>
                <w:vertAlign w:val="superscript"/>
              </w:rPr>
              <w:t>2</w:t>
            </w:r>
            <w:r>
              <w:rPr>
                <w:rFonts w:ascii="Times New Roman" w:hAnsi="Times New Roman" w:eastAsia="宋体" w:cs="Times New Roman"/>
                <w:color w:val="auto"/>
                <w:w w:val="100"/>
                <w:sz w:val="21"/>
                <w:highlight w:val="none"/>
              </w:rPr>
              <w:t>﹒d）</w:t>
            </w:r>
          </w:p>
        </w:tc>
        <w:tc>
          <w:tcPr>
            <w:tcW w:w="146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渗漏量</w:t>
            </w:r>
          </w:p>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L/d）</w:t>
            </w:r>
          </w:p>
        </w:tc>
        <w:tc>
          <w:tcPr>
            <w:tcW w:w="1457"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w:t>
            </w:r>
          </w:p>
        </w:tc>
        <w:tc>
          <w:tcPr>
            <w:tcW w:w="154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浓度</w:t>
            </w:r>
          </w:p>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mg/L）</w:t>
            </w:r>
          </w:p>
        </w:tc>
        <w:tc>
          <w:tcPr>
            <w:tcW w:w="145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污染物质量</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462" w:type="dxa"/>
            <w:vMerge w:val="restart"/>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350.75</w:t>
            </w:r>
          </w:p>
        </w:tc>
        <w:tc>
          <w:tcPr>
            <w:tcW w:w="1463" w:type="dxa"/>
            <w:vMerge w:val="restart"/>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20</w:t>
            </w:r>
          </w:p>
        </w:tc>
        <w:tc>
          <w:tcPr>
            <w:tcW w:w="1463" w:type="dxa"/>
            <w:vMerge w:val="restart"/>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7015</w:t>
            </w:r>
          </w:p>
        </w:tc>
        <w:tc>
          <w:tcPr>
            <w:tcW w:w="1457" w:type="dxa"/>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COD</w:t>
            </w:r>
          </w:p>
        </w:tc>
        <w:tc>
          <w:tcPr>
            <w:tcW w:w="1542" w:type="dxa"/>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2800</w:t>
            </w:r>
          </w:p>
        </w:tc>
        <w:tc>
          <w:tcPr>
            <w:tcW w:w="1453" w:type="dxa"/>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19642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62" w:type="dxa"/>
            <w:vMerge w:val="continue"/>
            <w:vAlign w:val="center"/>
          </w:tcPr>
          <w:p>
            <w:pPr>
              <w:pStyle w:val="31"/>
              <w:bidi w:val="0"/>
              <w:rPr>
                <w:rFonts w:ascii="Times New Roman" w:hAnsi="Times New Roman" w:eastAsia="宋体" w:cs="Times New Roman"/>
                <w:color w:val="auto"/>
                <w:w w:val="100"/>
                <w:sz w:val="21"/>
                <w:highlight w:val="none"/>
              </w:rPr>
            </w:pPr>
          </w:p>
        </w:tc>
        <w:tc>
          <w:tcPr>
            <w:tcW w:w="1463" w:type="dxa"/>
            <w:vMerge w:val="continue"/>
            <w:vAlign w:val="center"/>
          </w:tcPr>
          <w:p>
            <w:pPr>
              <w:pStyle w:val="31"/>
              <w:bidi w:val="0"/>
              <w:rPr>
                <w:rFonts w:ascii="Times New Roman" w:hAnsi="Times New Roman" w:eastAsia="宋体" w:cs="Times New Roman"/>
                <w:color w:val="auto"/>
                <w:w w:val="100"/>
                <w:sz w:val="21"/>
                <w:highlight w:val="none"/>
              </w:rPr>
            </w:pPr>
          </w:p>
        </w:tc>
        <w:tc>
          <w:tcPr>
            <w:tcW w:w="1463" w:type="dxa"/>
            <w:vMerge w:val="continue"/>
            <w:vAlign w:val="center"/>
          </w:tcPr>
          <w:p>
            <w:pPr>
              <w:pStyle w:val="31"/>
              <w:bidi w:val="0"/>
              <w:rPr>
                <w:rFonts w:ascii="Times New Roman" w:hAnsi="Times New Roman" w:eastAsia="宋体" w:cs="Times New Roman"/>
                <w:color w:val="auto"/>
                <w:w w:val="100"/>
                <w:sz w:val="21"/>
                <w:highlight w:val="none"/>
              </w:rPr>
            </w:pPr>
          </w:p>
        </w:tc>
        <w:tc>
          <w:tcPr>
            <w:tcW w:w="1457"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氨氮</w:t>
            </w:r>
          </w:p>
        </w:tc>
        <w:tc>
          <w:tcPr>
            <w:tcW w:w="1542" w:type="dxa"/>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15</w:t>
            </w:r>
          </w:p>
        </w:tc>
        <w:tc>
          <w:tcPr>
            <w:tcW w:w="1453" w:type="dxa"/>
            <w:vAlign w:val="center"/>
          </w:tcPr>
          <w:p>
            <w:pPr>
              <w:pStyle w:val="31"/>
              <w:bidi w:val="0"/>
              <w:ind w:left="0" w:leftChars="0" w:right="0" w:rightChars="0" w:firstLine="0" w:firstLineChars="0"/>
              <w:rPr>
                <w:rFonts w:ascii="Times New Roman" w:hAnsi="Times New Roman" w:eastAsia="宋体" w:cs="Times New Roman"/>
                <w:color w:val="auto"/>
                <w:w w:val="100"/>
                <w:sz w:val="21"/>
                <w:highlight w:val="none"/>
              </w:rPr>
            </w:pPr>
            <w:r>
              <w:rPr>
                <w:rFonts w:hint="eastAsia" w:cs="Times New Roman"/>
                <w:color w:val="auto"/>
                <w:w w:val="100"/>
                <w:sz w:val="21"/>
                <w:highlight w:val="none"/>
                <w:lang w:val="en-US" w:eastAsia="zh-CN"/>
              </w:rPr>
              <w:t>105.225</w:t>
            </w:r>
          </w:p>
        </w:tc>
      </w:tr>
    </w:tbl>
    <w:p>
      <w:pPr>
        <w:numPr>
          <w:ilvl w:val="0"/>
          <w:numId w:val="4"/>
        </w:numPr>
        <w:bidi w:val="0"/>
        <w:rPr>
          <w:color w:val="auto"/>
          <w:highlight w:val="none"/>
        </w:rPr>
      </w:pPr>
      <w:r>
        <w:rPr>
          <w:rFonts w:hint="eastAsia"/>
          <w:color w:val="auto"/>
          <w:highlight w:val="none"/>
        </w:rPr>
        <w:t>预测时段</w:t>
      </w:r>
      <w:r>
        <w:rPr>
          <w:color w:val="auto"/>
          <w:highlight w:val="none"/>
        </w:rPr>
        <w:t>：</w:t>
      </w:r>
    </w:p>
    <w:p>
      <w:pPr>
        <w:bidi w:val="0"/>
        <w:rPr>
          <w:rFonts w:hint="eastAsia"/>
          <w:color w:val="auto"/>
          <w:highlight w:val="none"/>
        </w:rPr>
      </w:pPr>
      <w:r>
        <w:rPr>
          <w:rFonts w:hint="eastAsia"/>
          <w:color w:val="auto"/>
          <w:highlight w:val="none"/>
        </w:rPr>
        <w:t>预测时段设定为：自泄露时间点起，选择100d、1000d共</w:t>
      </w:r>
      <w:r>
        <w:rPr>
          <w:rFonts w:hint="eastAsia"/>
          <w:color w:val="auto"/>
          <w:highlight w:val="none"/>
          <w:lang w:val="en-US" w:eastAsia="zh-CN"/>
        </w:rPr>
        <w:t>2</w:t>
      </w:r>
      <w:r>
        <w:rPr>
          <w:rFonts w:hint="eastAsia"/>
          <w:color w:val="auto"/>
          <w:highlight w:val="none"/>
        </w:rPr>
        <w:t>个时段，预测泄露发生后给定源强的污染物在地下水中的浓度分布，从而确定污染事故对地下水环境的影响范围和程度。</w:t>
      </w:r>
    </w:p>
    <w:p>
      <w:pPr>
        <w:numPr>
          <w:ilvl w:val="0"/>
          <w:numId w:val="4"/>
        </w:numPr>
        <w:bidi w:val="0"/>
        <w:rPr>
          <w:color w:val="auto"/>
          <w:highlight w:val="none"/>
        </w:rPr>
      </w:pPr>
      <w:r>
        <w:rPr>
          <w:rFonts w:hint="eastAsia"/>
          <w:color w:val="auto"/>
          <w:highlight w:val="none"/>
        </w:rPr>
        <w:t>预测结果及分析</w:t>
      </w:r>
    </w:p>
    <w:p>
      <w:pPr>
        <w:bidi w:val="0"/>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rPr>
        <w:t>本评价以保守估计为原则，假定在泄漏废水直接进入浅层地下水情形下进行预测，预测结果见</w:t>
      </w:r>
      <w:r>
        <w:rPr>
          <w:rFonts w:hint="eastAsia" w:ascii="Times New Roman" w:hAnsi="Times New Roman" w:cs="Times New Roman"/>
          <w:color w:val="auto"/>
          <w:highlight w:val="none"/>
          <w:lang w:eastAsia="zh-CN"/>
        </w:rPr>
        <w:t>下图</w:t>
      </w:r>
      <w:r>
        <w:rPr>
          <w:rFonts w:hint="eastAsia" w:ascii="Times New Roman" w:hAnsi="Times New Roman" w:cs="Times New Roman"/>
          <w:color w:val="auto"/>
          <w:highlight w:val="none"/>
        </w:rPr>
        <w:t>。</w:t>
      </w:r>
      <w:r>
        <w:rPr>
          <w:rFonts w:hint="eastAsia" w:ascii="Times New Roman" w:hAnsi="Times New Roman" w:eastAsia="宋体" w:cs="Times New Roman"/>
          <w:color w:val="auto"/>
          <w:highlight w:val="none"/>
          <w:lang w:eastAsia="zh-CN"/>
        </w:rPr>
        <w:drawing>
          <wp:inline distT="0" distB="0" distL="114300" distR="114300">
            <wp:extent cx="5568950" cy="4620260"/>
            <wp:effectExtent l="0" t="0" r="12700" b="8890"/>
            <wp:docPr id="19" name="图片 19" descr="CO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OD 100"/>
                    <pic:cNvPicPr>
                      <a:picLocks noChangeAspect="1"/>
                    </pic:cNvPicPr>
                  </pic:nvPicPr>
                  <pic:blipFill>
                    <a:blip r:embed="rId60"/>
                    <a:stretch>
                      <a:fillRect/>
                    </a:stretch>
                  </pic:blipFill>
                  <pic:spPr>
                    <a:xfrm>
                      <a:off x="0" y="0"/>
                      <a:ext cx="5568950" cy="4620260"/>
                    </a:xfrm>
                    <a:prstGeom prst="rect">
                      <a:avLst/>
                    </a:prstGeom>
                  </pic:spPr>
                </pic:pic>
              </a:graphicData>
            </a:graphic>
          </wp:inline>
        </w:drawing>
      </w:r>
    </w:p>
    <w:p>
      <w:pPr>
        <w:pStyle w:val="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b w:val="0"/>
          <w:bCs/>
          <w:caps w:val="0"/>
          <w:smallCaps w:val="0"/>
          <w:color w:val="auto"/>
          <w:spacing w:val="0"/>
          <w:w w:val="99"/>
          <w:position w:val="0"/>
          <w:sz w:val="24"/>
          <w:szCs w:val="24"/>
          <w:highlight w:val="none"/>
        </w:rPr>
      </w:pPr>
      <w:r>
        <w:rPr>
          <w:rFonts w:hint="eastAsia" w:ascii="Times New Roman" w:hAnsi="Times New Roman" w:eastAsia="宋体" w:cs="Times New Roman"/>
          <w:smallCaps w:val="0"/>
          <w:color w:val="auto"/>
          <w:sz w:val="24"/>
          <w:szCs w:val="20"/>
          <w:highlight w:val="none"/>
          <w:lang w:val="en-US" w:eastAsia="zh-CN" w:bidi="ar-SA"/>
        </w:rPr>
        <w:t>图</w:t>
      </w:r>
      <w:r>
        <w:rPr>
          <w:rFonts w:hint="eastAsia" w:ascii="Times New Roman" w:hAnsi="Times New Roman" w:cs="Times New Roman"/>
          <w:smallCaps w:val="0"/>
          <w:color w:val="auto"/>
          <w:sz w:val="24"/>
          <w:szCs w:val="20"/>
          <w:highlight w:val="none"/>
          <w:lang w:val="en-US" w:eastAsia="zh-CN" w:bidi="ar-SA"/>
        </w:rPr>
        <w:t>5.2.5.2-1</w:t>
      </w:r>
      <w:r>
        <w:rPr>
          <w:rFonts w:hint="eastAsia" w:ascii="Times New Roman" w:hAnsi="Times New Roman" w:eastAsia="宋体" w:cs="Times New Roman"/>
          <w:smallCaps w:val="0"/>
          <w:color w:val="auto"/>
          <w:sz w:val="24"/>
          <w:szCs w:val="20"/>
          <w:highlight w:val="none"/>
          <w:lang w:val="en-US" w:eastAsia="zh-CN" w:bidi="ar-SA"/>
        </w:rPr>
        <w:t xml:space="preserve">  COD100天预测结果图</w:t>
      </w:r>
    </w:p>
    <w:p>
      <w:pPr>
        <w:pStyle w:val="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宋体" w:cs="Times New Roman"/>
          <w:caps w:val="0"/>
          <w:smallCaps w:val="0"/>
          <w:color w:val="auto"/>
          <w:spacing w:val="0"/>
          <w:w w:val="99"/>
          <w:position w:val="0"/>
          <w:highlight w:val="none"/>
        </w:rPr>
      </w:pPr>
      <w:r>
        <w:rPr>
          <w:rFonts w:hint="eastAsia" w:ascii="Times New Roman" w:hAnsi="Times New Roman" w:eastAsia="宋体" w:cs="Times New Roman"/>
          <w:smallCaps w:val="0"/>
          <w:color w:val="auto"/>
          <w:sz w:val="24"/>
          <w:szCs w:val="20"/>
          <w:highlight w:val="none"/>
          <w:lang w:val="en-US" w:eastAsia="zh-CN" w:bidi="ar-SA"/>
        </w:rPr>
        <w:drawing>
          <wp:inline distT="0" distB="0" distL="114300" distR="114300">
            <wp:extent cx="5549265" cy="4834890"/>
            <wp:effectExtent l="0" t="0" r="13335" b="3810"/>
            <wp:docPr id="23" name="图片 23" descr="COD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OD 1000"/>
                    <pic:cNvPicPr>
                      <a:picLocks noChangeAspect="1"/>
                    </pic:cNvPicPr>
                  </pic:nvPicPr>
                  <pic:blipFill>
                    <a:blip r:embed="rId61"/>
                    <a:stretch>
                      <a:fillRect/>
                    </a:stretch>
                  </pic:blipFill>
                  <pic:spPr>
                    <a:xfrm>
                      <a:off x="0" y="0"/>
                      <a:ext cx="5549265" cy="4834890"/>
                    </a:xfrm>
                    <a:prstGeom prst="rect">
                      <a:avLst/>
                    </a:prstGeom>
                  </pic:spPr>
                </pic:pic>
              </a:graphicData>
            </a:graphic>
          </wp:inline>
        </w:drawing>
      </w:r>
      <w:r>
        <w:rPr>
          <w:rFonts w:hint="eastAsia" w:ascii="Times New Roman" w:hAnsi="Times New Roman" w:eastAsia="宋体" w:cs="Times New Roman"/>
          <w:smallCaps w:val="0"/>
          <w:color w:val="auto"/>
          <w:sz w:val="24"/>
          <w:szCs w:val="20"/>
          <w:highlight w:val="none"/>
          <w:lang w:val="en-US" w:eastAsia="zh-CN" w:bidi="ar-SA"/>
        </w:rPr>
        <w:t>图</w:t>
      </w:r>
      <w:r>
        <w:rPr>
          <w:rFonts w:hint="eastAsia" w:ascii="Times New Roman" w:hAnsi="Times New Roman" w:cs="Times New Roman"/>
          <w:smallCaps w:val="0"/>
          <w:color w:val="auto"/>
          <w:sz w:val="24"/>
          <w:szCs w:val="20"/>
          <w:highlight w:val="none"/>
          <w:lang w:val="en-US" w:eastAsia="zh-CN" w:bidi="ar-SA"/>
        </w:rPr>
        <w:t>5.2.5.2-2</w:t>
      </w:r>
      <w:r>
        <w:rPr>
          <w:rFonts w:hint="eastAsia" w:ascii="Times New Roman" w:hAnsi="Times New Roman" w:eastAsia="宋体" w:cs="Times New Roman"/>
          <w:smallCaps w:val="0"/>
          <w:color w:val="auto"/>
          <w:sz w:val="24"/>
          <w:szCs w:val="20"/>
          <w:highlight w:val="none"/>
          <w:lang w:val="en-US" w:eastAsia="zh-CN" w:bidi="ar-SA"/>
        </w:rPr>
        <w:t xml:space="preserve">  COD1000天预测结果图</w:t>
      </w:r>
    </w:p>
    <w:p>
      <w:pPr>
        <w:bidi w:val="0"/>
        <w:rPr>
          <w:rFonts w:hint="eastAsia"/>
          <w:color w:val="auto"/>
          <w:highlight w:val="none"/>
        </w:rPr>
      </w:pPr>
      <w:r>
        <w:rPr>
          <w:rFonts w:hint="eastAsia"/>
          <w:color w:val="auto"/>
          <w:highlight w:val="none"/>
        </w:rPr>
        <w:t>正常状况下，个生产环节按照设计参数运行，地下水可能的污染来源为集水池、各管线等跑冒滴漏。本项目已经根据相关防渗设计规范采取严格的防渗措施，一般情况下</w:t>
      </w:r>
      <w:r>
        <w:rPr>
          <w:rFonts w:hint="eastAsia"/>
          <w:color w:val="auto"/>
          <w:highlight w:val="none"/>
          <w:lang w:eastAsia="zh-CN"/>
        </w:rPr>
        <w:t>污水</w:t>
      </w:r>
      <w:r>
        <w:rPr>
          <w:rFonts w:hint="eastAsia"/>
          <w:color w:val="auto"/>
          <w:highlight w:val="none"/>
        </w:rPr>
        <w:t>不会渗漏和进入地下，对地下水不会造成污染。</w:t>
      </w:r>
    </w:p>
    <w:p>
      <w:pPr>
        <w:keepNext w:val="0"/>
        <w:keepLines w:val="0"/>
        <w:widowControl/>
        <w:suppressLineNumbers w:val="0"/>
        <w:jc w:val="left"/>
        <w:rPr>
          <w:rFonts w:hint="default"/>
          <w:color w:val="auto"/>
          <w:highlight w:val="none"/>
          <w:lang w:val="en-US"/>
        </w:rPr>
      </w:pPr>
      <w:r>
        <w:rPr>
          <w:rFonts w:hint="eastAsia"/>
          <w:color w:val="auto"/>
          <w:sz w:val="24"/>
          <w:highlight w:val="none"/>
        </w:rPr>
        <w:t>非正常状况下，</w:t>
      </w:r>
      <w:r>
        <w:rPr>
          <w:rFonts w:hint="eastAsia"/>
          <w:color w:val="auto"/>
          <w:sz w:val="24"/>
          <w:highlight w:val="none"/>
          <w:lang w:eastAsia="zh-CN"/>
        </w:rPr>
        <w:t>曝气池</w:t>
      </w:r>
      <w:r>
        <w:rPr>
          <w:rFonts w:hint="eastAsia"/>
          <w:color w:val="auto"/>
          <w:sz w:val="24"/>
          <w:highlight w:val="none"/>
        </w:rPr>
        <w:t>池出现破损，发生泄漏第100d、渗漏点位置COD、氨氮污染物通过地下水径流向下游迁移。100天时，</w:t>
      </w:r>
      <w:r>
        <w:rPr>
          <w:rFonts w:hint="eastAsia"/>
          <w:color w:val="auto"/>
          <w:sz w:val="24"/>
          <w:highlight w:val="none"/>
          <w:lang w:val="en-US" w:eastAsia="zh-CN"/>
        </w:rPr>
        <w:t>COD</w:t>
      </w:r>
      <w:r>
        <w:rPr>
          <w:rFonts w:hint="eastAsia"/>
          <w:color w:val="auto"/>
          <w:sz w:val="24"/>
          <w:highlight w:val="none"/>
        </w:rPr>
        <w:t>下游最大浓度为：36.59mg/l，超标距离最远为23.162m，预测范围内的超标面积为372m</w:t>
      </w:r>
      <w:r>
        <w:rPr>
          <w:rFonts w:hint="eastAsia"/>
          <w:color w:val="auto"/>
          <w:sz w:val="24"/>
          <w:highlight w:val="none"/>
          <w:vertAlign w:val="superscript"/>
        </w:rPr>
        <w:t>2</w:t>
      </w:r>
      <w:r>
        <w:rPr>
          <w:rFonts w:hint="eastAsia"/>
          <w:color w:val="auto"/>
          <w:sz w:val="24"/>
          <w:highlight w:val="none"/>
        </w:rPr>
        <w:t>，影响距离最远为下游37.162m，预测范围内的影响面积为1020m</w:t>
      </w:r>
      <w:r>
        <w:rPr>
          <w:rFonts w:hint="eastAsia"/>
          <w:color w:val="auto"/>
          <w:sz w:val="24"/>
          <w:highlight w:val="none"/>
          <w:vertAlign w:val="superscript"/>
        </w:rPr>
        <w:t>2</w:t>
      </w:r>
      <w:r>
        <w:rPr>
          <w:rFonts w:hint="eastAsia"/>
          <w:color w:val="auto"/>
          <w:sz w:val="24"/>
          <w:highlight w:val="none"/>
          <w:lang w:val="en-US" w:eastAsia="zh-CN"/>
        </w:rPr>
        <w:t>,</w:t>
      </w:r>
      <w:r>
        <w:rPr>
          <w:rFonts w:hint="eastAsia"/>
          <w:color w:val="auto"/>
          <w:sz w:val="24"/>
          <w:highlight w:val="none"/>
        </w:rPr>
        <w:t>随着时间推移，中心点在向下游移动，中心点浓度逐渐减</w:t>
      </w:r>
      <w:r>
        <w:rPr>
          <w:rFonts w:hint="eastAsia"/>
          <w:color w:val="auto"/>
          <w:sz w:val="24"/>
          <w:highlight w:val="none"/>
          <w:lang w:eastAsia="zh-CN"/>
        </w:rPr>
        <w:t>，</w:t>
      </w:r>
      <w:r>
        <w:rPr>
          <w:rFonts w:hint="eastAsia"/>
          <w:color w:val="auto"/>
          <w:sz w:val="24"/>
          <w:highlight w:val="none"/>
        </w:rPr>
        <w:t>小1000天时，下游最大浓度为：3.65mg/</w:t>
      </w:r>
      <w:r>
        <w:rPr>
          <w:rFonts w:hint="eastAsia"/>
          <w:color w:val="auto"/>
          <w:sz w:val="24"/>
          <w:highlight w:val="none"/>
          <w:lang w:val="en-US" w:eastAsia="zh-CN"/>
        </w:rPr>
        <w:t>L</w:t>
      </w:r>
      <w:r>
        <w:rPr>
          <w:rFonts w:hint="eastAsia"/>
          <w:color w:val="auto"/>
          <w:sz w:val="24"/>
          <w:highlight w:val="none"/>
        </w:rPr>
        <w:t>，超标距离最远为21.62m，预测范围内的超标面积为304m</w:t>
      </w:r>
      <w:r>
        <w:rPr>
          <w:rFonts w:hint="eastAsia"/>
          <w:color w:val="auto"/>
          <w:sz w:val="24"/>
          <w:highlight w:val="none"/>
          <w:vertAlign w:val="superscript"/>
        </w:rPr>
        <w:t>2</w:t>
      </w:r>
      <w:r>
        <w:rPr>
          <w:rFonts w:hint="eastAsia"/>
          <w:color w:val="auto"/>
          <w:sz w:val="24"/>
          <w:highlight w:val="none"/>
        </w:rPr>
        <w:t>，影响距离最远为下游94.62m，预测范围内的影响面积为2871m</w:t>
      </w:r>
      <w:r>
        <w:rPr>
          <w:rFonts w:hint="eastAsia"/>
          <w:color w:val="auto"/>
          <w:sz w:val="24"/>
          <w:highlight w:val="none"/>
          <w:vertAlign w:val="superscript"/>
          <w:lang w:val="en-US" w:eastAsia="zh-CN"/>
        </w:rPr>
        <w:t>2</w:t>
      </w:r>
      <w:r>
        <w:rPr>
          <w:rFonts w:hint="eastAsia"/>
          <w:color w:val="auto"/>
          <w:sz w:val="24"/>
          <w:highlight w:val="none"/>
          <w:lang w:val="en-US" w:eastAsia="zh-CN"/>
        </w:rPr>
        <w:t>。</w:t>
      </w:r>
    </w:p>
    <w:p>
      <w:pPr>
        <w:keepNext w:val="0"/>
        <w:keepLines w:val="0"/>
        <w:pageBreakBefore w:val="0"/>
        <w:widowControl w:val="0"/>
        <w:kinsoku/>
        <w:wordWrap/>
        <w:overflowPunct/>
        <w:topLinePunct w:val="0"/>
        <w:autoSpaceDE w:val="0"/>
        <w:autoSpaceDN w:val="0"/>
        <w:bidi w:val="0"/>
        <w:adjustRightInd/>
        <w:snapToGrid/>
        <w:textAlignment w:val="auto"/>
        <w:rPr>
          <w:rFonts w:hint="eastAsia"/>
          <w:color w:val="auto"/>
          <w:highlight w:val="none"/>
        </w:rPr>
      </w:pPr>
      <w:r>
        <w:rPr>
          <w:rFonts w:hint="eastAsia"/>
          <w:color w:val="auto"/>
          <w:sz w:val="24"/>
          <w:highlight w:val="none"/>
          <w:lang w:val="en-US" w:eastAsia="zh-CN"/>
        </w:rPr>
        <w:t>氨氮</w:t>
      </w:r>
      <w:r>
        <w:rPr>
          <w:rFonts w:hint="eastAsia"/>
          <w:color w:val="auto"/>
          <w:sz w:val="24"/>
          <w:highlight w:val="none"/>
        </w:rPr>
        <w:t>100天时，下游最大浓度为：0.196mg/</w:t>
      </w:r>
      <w:r>
        <w:rPr>
          <w:rFonts w:hint="eastAsia"/>
          <w:color w:val="auto"/>
          <w:sz w:val="24"/>
          <w:highlight w:val="none"/>
          <w:lang w:val="en-US" w:eastAsia="zh-CN"/>
        </w:rPr>
        <w:t>L</w:t>
      </w:r>
      <w:r>
        <w:rPr>
          <w:rFonts w:hint="eastAsia"/>
          <w:color w:val="auto"/>
          <w:sz w:val="24"/>
          <w:highlight w:val="none"/>
        </w:rPr>
        <w:t>，未超标，影响距离最远为下游21.162m，预测范围内的影响面积为311m</w:t>
      </w:r>
      <w:r>
        <w:rPr>
          <w:rFonts w:hint="eastAsia"/>
          <w:color w:val="auto"/>
          <w:sz w:val="24"/>
          <w:highlight w:val="none"/>
          <w:vertAlign w:val="superscript"/>
        </w:rPr>
        <w:t>2</w:t>
      </w:r>
      <w:r>
        <w:rPr>
          <w:rFonts w:hint="eastAsia"/>
          <w:color w:val="auto"/>
          <w:sz w:val="24"/>
          <w:highlight w:val="none"/>
          <w:lang w:eastAsia="zh-CN"/>
        </w:rPr>
        <w:t>。</w:t>
      </w:r>
      <w:r>
        <w:rPr>
          <w:rFonts w:hint="eastAsia"/>
          <w:color w:val="auto"/>
          <w:sz w:val="24"/>
          <w:highlight w:val="none"/>
        </w:rPr>
        <w:t>随着时间推移，中心点在向下游移动，中心点浓度逐渐减小，至1000d时，下游最大浓度为：0.0196mg/</w:t>
      </w:r>
      <w:r>
        <w:rPr>
          <w:rFonts w:hint="eastAsia"/>
          <w:color w:val="auto"/>
          <w:sz w:val="24"/>
          <w:highlight w:val="none"/>
          <w:lang w:val="en-US" w:eastAsia="zh-CN"/>
        </w:rPr>
        <w:t>L</w:t>
      </w:r>
      <w:r>
        <w:rPr>
          <w:rFonts w:hint="eastAsia"/>
          <w:color w:val="auto"/>
          <w:sz w:val="24"/>
          <w:highlight w:val="none"/>
        </w:rPr>
        <w:t>，未超标，最大值低于检出限</w:t>
      </w:r>
      <w:r>
        <w:rPr>
          <w:rFonts w:hint="eastAsia"/>
          <w:color w:val="auto"/>
          <w:sz w:val="24"/>
          <w:highlight w:val="none"/>
          <w:lang w:eastAsia="zh-CN"/>
        </w:rPr>
        <w:t>氨氮</w:t>
      </w:r>
      <w:r>
        <w:rPr>
          <w:rFonts w:hint="eastAsia"/>
          <w:color w:val="auto"/>
          <w:sz w:val="24"/>
          <w:highlight w:val="none"/>
        </w:rPr>
        <w:t>小于的标准限值</w:t>
      </w:r>
      <w:r>
        <w:rPr>
          <w:rFonts w:hint="eastAsia"/>
          <w:color w:val="auto"/>
          <w:sz w:val="24"/>
          <w:highlight w:val="none"/>
          <w:lang w:val="en-US" w:eastAsia="zh-CN"/>
        </w:rPr>
        <w:t>0.5</w:t>
      </w:r>
      <w:r>
        <w:rPr>
          <w:rFonts w:hint="eastAsia"/>
          <w:color w:val="auto"/>
          <w:sz w:val="24"/>
          <w:highlight w:val="none"/>
        </w:rPr>
        <w:t>mg/L，即</w:t>
      </w:r>
      <w:r>
        <w:rPr>
          <w:rFonts w:hint="eastAsia"/>
          <w:color w:val="auto"/>
          <w:sz w:val="24"/>
          <w:highlight w:val="none"/>
          <w:lang w:eastAsia="zh-CN"/>
        </w:rPr>
        <w:t>氨氮</w:t>
      </w:r>
      <w:r>
        <w:rPr>
          <w:rFonts w:hint="eastAsia"/>
          <w:color w:val="auto"/>
          <w:sz w:val="24"/>
          <w:highlight w:val="none"/>
        </w:rPr>
        <w:t>未超标。</w:t>
      </w:r>
      <w:r>
        <w:rPr>
          <w:rFonts w:hint="eastAsia"/>
          <w:color w:val="auto"/>
          <w:highlight w:val="none"/>
        </w:rPr>
        <w:t>可见，在瞬时泄漏场景下，污水渗漏对地下水环境的影响较小。</w:t>
      </w:r>
    </w:p>
    <w:p>
      <w:pPr>
        <w:bidi w:val="0"/>
        <w:rPr>
          <w:color w:val="auto"/>
          <w:highlight w:val="none"/>
        </w:rPr>
      </w:pPr>
      <w:r>
        <w:rPr>
          <w:color w:val="auto"/>
          <w:highlight w:val="none"/>
        </w:rPr>
        <w:t>综上所述，项目开工建设期做好防渗工作，避免非正常情况产生，并建立地下水环境监测管理体系，以便及时发现问题，采取措施，项目建成后不会对当地地下水产生影响。</w:t>
      </w:r>
    </w:p>
    <w:p>
      <w:pPr>
        <w:pStyle w:val="7"/>
        <w:bidi w:val="0"/>
        <w:rPr>
          <w:rFonts w:ascii="Times New Roman" w:hAnsi="Times New Roman" w:cs="Times New Roman"/>
          <w:color w:val="auto"/>
          <w:highlight w:val="none"/>
        </w:rPr>
      </w:pPr>
      <w:bookmarkStart w:id="1081" w:name="_Toc19852"/>
      <w:r>
        <w:rPr>
          <w:rFonts w:ascii="Times New Roman" w:hAnsi="Times New Roman" w:cs="Times New Roman"/>
          <w:color w:val="auto"/>
          <w:highlight w:val="none"/>
        </w:rPr>
        <w:t>5.2.6运营期土壤影响分析</w:t>
      </w:r>
      <w:bookmarkEnd w:id="1081"/>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5.2.6.1本项目对土壤环境的污染</w:t>
      </w:r>
    </w:p>
    <w:p>
      <w:pPr>
        <w:bidi w:val="0"/>
        <w:rPr>
          <w:color w:val="auto"/>
          <w:highlight w:val="none"/>
        </w:rPr>
      </w:pPr>
      <w:r>
        <w:rPr>
          <w:color w:val="auto"/>
          <w:highlight w:val="none"/>
        </w:rPr>
        <w:t>本项目污染物质可以通过多种途径进入土壤，主要类型有以下三种：</w:t>
      </w:r>
    </w:p>
    <w:p>
      <w:pPr>
        <w:bidi w:val="0"/>
        <w:rPr>
          <w:color w:val="auto"/>
          <w:highlight w:val="none"/>
        </w:rPr>
      </w:pPr>
      <w:r>
        <w:rPr>
          <w:rFonts w:hint="eastAsia"/>
          <w:color w:val="auto"/>
          <w:highlight w:val="none"/>
          <w:lang w:eastAsia="zh-CN"/>
        </w:rPr>
        <w:t>（</w:t>
      </w:r>
      <w:r>
        <w:rPr>
          <w:color w:val="auto"/>
          <w:highlight w:val="none"/>
        </w:rPr>
        <w:t>1</w:t>
      </w:r>
      <w:r>
        <w:rPr>
          <w:rFonts w:hint="eastAsia"/>
          <w:color w:val="auto"/>
          <w:highlight w:val="none"/>
          <w:lang w:eastAsia="zh-CN"/>
        </w:rPr>
        <w:t>）</w:t>
      </w:r>
      <w:r>
        <w:rPr>
          <w:rFonts w:hint="eastAsia"/>
          <w:color w:val="auto"/>
          <w:highlight w:val="none"/>
          <w:lang w:val="en-US" w:eastAsia="zh-CN"/>
        </w:rPr>
        <w:t>大气沉降</w:t>
      </w:r>
      <w:r>
        <w:rPr>
          <w:color w:val="auto"/>
          <w:highlight w:val="none"/>
        </w:rPr>
        <w:t>：污染物质来源于被污染的大气，污染物质主要集中在土壤表层，其主要污染物是废气中的颗粒物等，它们降落到地表，破坏土壤肥力与生态系统的平衡；各种大气飘尘等降落地面，会造成土壤的多种污染。</w:t>
      </w:r>
    </w:p>
    <w:p>
      <w:pPr>
        <w:bidi w:val="0"/>
        <w:rPr>
          <w:color w:val="auto"/>
          <w:highlight w:val="none"/>
        </w:rPr>
      </w:pPr>
      <w:r>
        <w:rPr>
          <w:rFonts w:hint="eastAsia"/>
          <w:color w:val="auto"/>
          <w:highlight w:val="none"/>
          <w:lang w:eastAsia="zh-CN"/>
        </w:rPr>
        <w:t>（</w:t>
      </w:r>
      <w:r>
        <w:rPr>
          <w:color w:val="auto"/>
          <w:highlight w:val="none"/>
        </w:rPr>
        <w:t>2</w:t>
      </w:r>
      <w:r>
        <w:rPr>
          <w:rFonts w:hint="eastAsia"/>
          <w:color w:val="auto"/>
          <w:highlight w:val="none"/>
          <w:lang w:eastAsia="zh-CN"/>
        </w:rPr>
        <w:t>）</w:t>
      </w:r>
      <w:r>
        <w:rPr>
          <w:rFonts w:hint="eastAsia"/>
          <w:color w:val="auto"/>
          <w:highlight w:val="none"/>
          <w:lang w:val="en-US" w:eastAsia="zh-CN"/>
        </w:rPr>
        <w:t>垂直入渗</w:t>
      </w:r>
      <w:r>
        <w:rPr>
          <w:color w:val="auto"/>
          <w:highlight w:val="none"/>
        </w:rPr>
        <w:t>：项目产生生产废水主要为工艺废水和生活污水，经厂区污水处理设施处理达标后</w:t>
      </w:r>
      <w:r>
        <w:rPr>
          <w:rFonts w:hint="eastAsia"/>
          <w:color w:val="auto"/>
          <w:highlight w:val="none"/>
          <w:lang w:val="en-US" w:eastAsia="zh-CN"/>
        </w:rPr>
        <w:t>回用</w:t>
      </w:r>
      <w:r>
        <w:rPr>
          <w:color w:val="auto"/>
          <w:highlight w:val="none"/>
        </w:rPr>
        <w:t>。正常状况下，水污染对周围土壤环境造成影响很小。但如果厂区内管道、阀门及污水处理设施出现跑、冒、滴、漏则会使污水下渗污染土壤。</w:t>
      </w:r>
    </w:p>
    <w:p>
      <w:pPr>
        <w:bidi w:val="0"/>
        <w:rPr>
          <w:rFonts w:ascii="Times New Roman" w:hAnsi="Times New Roman" w:eastAsia="宋体" w:cs="Times New Roman"/>
          <w:color w:val="auto"/>
          <w:spacing w:val="0"/>
          <w:w w:val="99"/>
          <w:position w:val="0"/>
          <w:szCs w:val="24"/>
          <w:highlight w:val="none"/>
        </w:rPr>
      </w:pPr>
      <w:r>
        <w:rPr>
          <w:rFonts w:hint="eastAsia"/>
          <w:color w:val="auto"/>
          <w:highlight w:val="none"/>
          <w:lang w:eastAsia="zh-CN"/>
        </w:rPr>
        <w:t>（</w:t>
      </w:r>
      <w:r>
        <w:rPr>
          <w:color w:val="auto"/>
          <w:highlight w:val="none"/>
        </w:rPr>
        <w:t>3</w:t>
      </w:r>
      <w:r>
        <w:rPr>
          <w:rFonts w:hint="eastAsia"/>
          <w:color w:val="auto"/>
          <w:highlight w:val="none"/>
          <w:lang w:eastAsia="zh-CN"/>
        </w:rPr>
        <w:t>）</w:t>
      </w:r>
      <w:r>
        <w:rPr>
          <w:rFonts w:hint="eastAsia"/>
          <w:color w:val="auto"/>
          <w:highlight w:val="none"/>
          <w:lang w:val="en-US" w:eastAsia="zh-CN"/>
        </w:rPr>
        <w:t>地面漫流</w:t>
      </w:r>
      <w:r>
        <w:rPr>
          <w:color w:val="auto"/>
          <w:highlight w:val="none"/>
        </w:rPr>
        <w:t>：项目产生的固废、危废等在运输、贮存或堆放过程中通过扩散、降水淋洗等直接或间接地影响土壤。</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5.2.6.2土壤污染影响评价</w:t>
      </w:r>
    </w:p>
    <w:p>
      <w:pPr>
        <w:bidi w:val="0"/>
        <w:rPr>
          <w:color w:val="auto"/>
          <w:highlight w:val="none"/>
        </w:rPr>
      </w:pPr>
      <w:r>
        <w:rPr>
          <w:color w:val="auto"/>
          <w:highlight w:val="none"/>
        </w:rPr>
        <w:t>为防止事故状态对土壤的污染，减少项目运行过程中对土壤环境的不利影响，项目厂区将采取一系列防范措施</w:t>
      </w:r>
      <w:r>
        <w:rPr>
          <w:rFonts w:hint="eastAsia"/>
          <w:color w:val="auto"/>
          <w:highlight w:val="none"/>
          <w:lang w:eastAsia="zh-CN"/>
        </w:rPr>
        <w:t>（</w:t>
      </w:r>
      <w:r>
        <w:rPr>
          <w:color w:val="auto"/>
          <w:highlight w:val="none"/>
        </w:rPr>
        <w:t>详见第6章污染防治措施），如危险废物严格按要求进行暂存、控制项目</w:t>
      </w:r>
      <w:r>
        <w:rPr>
          <w:rFonts w:hint="eastAsia"/>
          <w:color w:val="auto"/>
          <w:highlight w:val="none"/>
          <w:lang w:eastAsia="zh-CN"/>
        </w:rPr>
        <w:t>“</w:t>
      </w:r>
      <w:r>
        <w:rPr>
          <w:color w:val="auto"/>
          <w:highlight w:val="none"/>
        </w:rPr>
        <w:t>三废</w:t>
      </w:r>
      <w:r>
        <w:rPr>
          <w:rFonts w:hint="eastAsia"/>
          <w:color w:val="auto"/>
          <w:highlight w:val="none"/>
          <w:lang w:eastAsia="zh-CN"/>
        </w:rPr>
        <w:t>”</w:t>
      </w:r>
      <w:r>
        <w:rPr>
          <w:color w:val="auto"/>
          <w:highlight w:val="none"/>
        </w:rPr>
        <w:t>的排放、厂区分级防渗建设等，在采取这些措施的基础上，项目所产生污染物对土壤环境的不利影响将减至最小，对土壤环境的影响不大。</w:t>
      </w:r>
    </w:p>
    <w:p>
      <w:pPr>
        <w:pStyle w:val="7"/>
        <w:bidi w:val="0"/>
        <w:rPr>
          <w:rFonts w:ascii="Times New Roman" w:hAnsi="Times New Roman" w:cs="Times New Roman"/>
          <w:color w:val="auto"/>
          <w:highlight w:val="none"/>
        </w:rPr>
      </w:pPr>
      <w:bookmarkStart w:id="1082" w:name="_Toc6147"/>
      <w:r>
        <w:rPr>
          <w:rFonts w:ascii="Times New Roman" w:hAnsi="Times New Roman" w:cs="Times New Roman"/>
          <w:color w:val="auto"/>
          <w:highlight w:val="none"/>
        </w:rPr>
        <w:t>5.2.7环境风险评价</w:t>
      </w:r>
      <w:bookmarkEnd w:id="1082"/>
    </w:p>
    <w:p>
      <w:pPr>
        <w:bidi w:val="0"/>
        <w:rPr>
          <w:color w:val="auto"/>
          <w:highlight w:val="none"/>
        </w:rPr>
      </w:pPr>
      <w:r>
        <w:rPr>
          <w:color w:val="auto"/>
          <w:highlight w:val="none"/>
        </w:rPr>
        <w:t>根据《建设项目环境风险评价技术导则》</w:t>
      </w:r>
      <w:r>
        <w:rPr>
          <w:rFonts w:hint="eastAsia"/>
          <w:color w:val="auto"/>
          <w:highlight w:val="none"/>
          <w:lang w:eastAsia="zh-CN"/>
        </w:rPr>
        <w:t>（</w:t>
      </w:r>
      <w:r>
        <w:rPr>
          <w:color w:val="auto"/>
          <w:highlight w:val="none"/>
        </w:rPr>
        <w:t>HJ 169-2018）对项目建设进行环境风险评价。环境风险评价程序见图</w:t>
      </w:r>
      <w:r>
        <w:rPr>
          <w:rFonts w:hint="eastAsia"/>
          <w:color w:val="auto"/>
          <w:highlight w:val="none"/>
          <w:lang w:val="en-US" w:eastAsia="zh-CN"/>
        </w:rPr>
        <w:t>5.2.7-1</w:t>
      </w:r>
      <w:r>
        <w:rPr>
          <w:color w:val="auto"/>
          <w:highlight w:val="none"/>
        </w:rPr>
        <w:t>。</w:t>
      </w:r>
    </w:p>
    <w:p>
      <w:pPr>
        <w:spacing w:line="428" w:lineRule="auto"/>
        <w:rPr>
          <w:rFonts w:ascii="Times New Roman" w:hAnsi="Times New Roman" w:eastAsia="宋体" w:cs="Times New Roman"/>
          <w:color w:val="auto"/>
          <w:spacing w:val="0"/>
          <w:w w:val="99"/>
          <w:position w:val="0"/>
          <w:sz w:val="21"/>
          <w:highlight w:val="none"/>
        </w:rPr>
      </w:pPr>
    </w:p>
    <w:p>
      <w:pPr>
        <w:spacing w:before="1" w:line="7489" w:lineRule="exact"/>
        <w:ind w:firstLine="731"/>
        <w:textAlignment w:val="center"/>
        <w:rPr>
          <w:rFonts w:ascii="Times New Roman" w:hAnsi="Times New Roman" w:eastAsia="宋体" w:cs="Times New Roman"/>
          <w:color w:val="auto"/>
          <w:spacing w:val="0"/>
          <w:w w:val="99"/>
          <w:position w:val="0"/>
          <w:sz w:val="21"/>
          <w:highlight w:val="none"/>
        </w:rPr>
      </w:pPr>
      <w:r>
        <w:rPr>
          <w:rFonts w:ascii="Times New Roman" w:hAnsi="Times New Roman" w:eastAsia="宋体" w:cs="Times New Roman"/>
          <w:color w:val="auto"/>
          <w:spacing w:val="0"/>
          <w:w w:val="99"/>
          <w:position w:val="0"/>
          <w:highlight w:val="none"/>
        </w:rPr>
        <w:drawing>
          <wp:inline distT="0" distB="0" distL="114300" distR="114300">
            <wp:extent cx="4821555" cy="4755515"/>
            <wp:effectExtent l="0" t="0" r="17145" b="6985"/>
            <wp:docPr id="49" name="图片 12"/>
            <wp:cNvGraphicFramePr/>
            <a:graphic xmlns:a="http://schemas.openxmlformats.org/drawingml/2006/main">
              <a:graphicData uri="http://schemas.openxmlformats.org/drawingml/2006/picture">
                <pic:pic xmlns:pic="http://schemas.openxmlformats.org/drawingml/2006/picture">
                  <pic:nvPicPr>
                    <pic:cNvPr id="49" name="图片 12"/>
                    <pic:cNvPicPr/>
                  </pic:nvPicPr>
                  <pic:blipFill>
                    <a:blip r:embed="rId62"/>
                    <a:stretch>
                      <a:fillRect/>
                    </a:stretch>
                  </pic:blipFill>
                  <pic:spPr>
                    <a:xfrm>
                      <a:off x="0" y="0"/>
                      <a:ext cx="4821555" cy="47555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color w:val="auto"/>
          <w:spacing w:val="0"/>
          <w:w w:val="99"/>
          <w:position w:val="0"/>
          <w:sz w:val="24"/>
          <w:szCs w:val="24"/>
          <w:highlight w:val="none"/>
        </w:rPr>
      </w:pPr>
      <w:r>
        <w:rPr>
          <w:rFonts w:ascii="Times New Roman" w:hAnsi="Times New Roman" w:cs="Times New Roman"/>
          <w:color w:val="auto"/>
          <w:highlight w:val="none"/>
        </w:rPr>
        <w:t>图5</w:t>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7-1  环境风险评价工作程序图</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5.2.7.1风险识别</w:t>
      </w:r>
    </w:p>
    <w:p>
      <w:pPr>
        <w:bidi w:val="0"/>
        <w:rPr>
          <w:color w:val="auto"/>
          <w:highlight w:val="none"/>
        </w:rPr>
      </w:pPr>
      <w:r>
        <w:rPr>
          <w:rFonts w:hint="eastAsia"/>
          <w:color w:val="auto"/>
          <w:highlight w:val="none"/>
          <w:lang w:eastAsia="zh-CN"/>
        </w:rPr>
        <w:t>（</w:t>
      </w:r>
      <w:r>
        <w:rPr>
          <w:color w:val="auto"/>
          <w:highlight w:val="none"/>
        </w:rPr>
        <w:t>1）物质危险性识别</w:t>
      </w:r>
    </w:p>
    <w:p>
      <w:pPr>
        <w:bidi w:val="0"/>
        <w:rPr>
          <w:color w:val="auto"/>
          <w:highlight w:val="none"/>
        </w:rPr>
      </w:pPr>
      <w:r>
        <w:rPr>
          <w:color w:val="auto"/>
          <w:highlight w:val="none"/>
        </w:rPr>
        <w:t>物质危险性识别，包括主要原辅材料、燃料、中间产品、副产品、最终产品、污染物、火灾和爆炸伴生/次生物等。</w:t>
      </w:r>
    </w:p>
    <w:p>
      <w:pPr>
        <w:bidi w:val="0"/>
        <w:rPr>
          <w:color w:val="auto"/>
          <w:highlight w:val="none"/>
        </w:rPr>
      </w:pPr>
      <w:r>
        <w:rPr>
          <w:color w:val="auto"/>
          <w:highlight w:val="none"/>
        </w:rPr>
        <w:t>本项目主要风险</w:t>
      </w:r>
      <w:r>
        <w:rPr>
          <w:rFonts w:hint="eastAsia"/>
          <w:color w:val="auto"/>
          <w:highlight w:val="none"/>
          <w:lang w:val="en-US" w:eastAsia="zh-CN"/>
        </w:rPr>
        <w:t>物质</w:t>
      </w:r>
      <w:r>
        <w:rPr>
          <w:color w:val="auto"/>
          <w:highlight w:val="none"/>
        </w:rPr>
        <w:t>为</w:t>
      </w:r>
      <w:r>
        <w:rPr>
          <w:rFonts w:hint="eastAsia"/>
          <w:color w:val="auto"/>
          <w:highlight w:val="none"/>
          <w:lang w:eastAsia="zh-CN"/>
        </w:rPr>
        <w:t>润滑油</w:t>
      </w:r>
      <w:r>
        <w:rPr>
          <w:rFonts w:hint="eastAsia"/>
          <w:color w:val="auto"/>
          <w:highlight w:val="none"/>
          <w:lang w:val="en-US" w:eastAsia="zh-CN"/>
        </w:rPr>
        <w:t>及发生火灾产生的CO</w:t>
      </w:r>
      <w:r>
        <w:rPr>
          <w:rFonts w:hint="eastAsia"/>
          <w:color w:val="auto"/>
          <w:highlight w:val="none"/>
          <w:lang w:eastAsia="zh-CN"/>
        </w:rPr>
        <w:t>。</w:t>
      </w:r>
    </w:p>
    <w:p>
      <w:pPr>
        <w:bidi w:val="0"/>
        <w:rPr>
          <w:color w:val="auto"/>
          <w:highlight w:val="none"/>
        </w:rPr>
      </w:pPr>
      <w:r>
        <w:rPr>
          <w:rFonts w:hint="eastAsia"/>
          <w:color w:val="auto"/>
          <w:highlight w:val="none"/>
          <w:lang w:eastAsia="zh-CN"/>
        </w:rPr>
        <w:t>（</w:t>
      </w:r>
      <w:r>
        <w:rPr>
          <w:color w:val="auto"/>
          <w:highlight w:val="none"/>
        </w:rPr>
        <w:t>2）生产系统危险性识别</w:t>
      </w:r>
    </w:p>
    <w:p>
      <w:pPr>
        <w:bidi w:val="0"/>
        <w:rPr>
          <w:color w:val="auto"/>
          <w:highlight w:val="none"/>
        </w:rPr>
      </w:pPr>
      <w:r>
        <w:rPr>
          <w:color w:val="auto"/>
          <w:highlight w:val="none"/>
        </w:rPr>
        <w:t>生产系统危险性识别包括主要生产装置、贮运系统、公用工程系统、工程环保设施及辅助生产设施等。</w:t>
      </w:r>
    </w:p>
    <w:p>
      <w:pPr>
        <w:bidi w:val="0"/>
        <w:rPr>
          <w:color w:val="auto"/>
          <w:highlight w:val="none"/>
        </w:rPr>
      </w:pPr>
      <w:r>
        <w:rPr>
          <w:color w:val="auto"/>
          <w:highlight w:val="none"/>
        </w:rPr>
        <w:t>在贮运过程中：</w:t>
      </w:r>
      <w:r>
        <w:rPr>
          <w:rFonts w:hint="eastAsia"/>
          <w:color w:val="auto"/>
          <w:highlight w:val="none"/>
          <w:lang w:val="en-US" w:eastAsia="zh-CN"/>
        </w:rPr>
        <w:t>原料</w:t>
      </w:r>
      <w:r>
        <w:rPr>
          <w:color w:val="auto"/>
          <w:highlight w:val="none"/>
        </w:rPr>
        <w:t>和成品纸等储存设施保管不善，遇明火，可能发生火灾事故</w:t>
      </w:r>
      <w:r>
        <w:rPr>
          <w:rFonts w:hint="eastAsia"/>
          <w:color w:val="auto"/>
          <w:highlight w:val="none"/>
          <w:lang w:val="en-US" w:eastAsia="zh-CN"/>
        </w:rPr>
        <w:t>产生CO</w:t>
      </w:r>
      <w:r>
        <w:rPr>
          <w:color w:val="auto"/>
          <w:highlight w:val="none"/>
        </w:rPr>
        <w:t>。</w:t>
      </w:r>
      <w:r>
        <w:rPr>
          <w:rFonts w:hint="eastAsia"/>
          <w:color w:val="auto"/>
          <w:highlight w:val="none"/>
          <w:lang w:val="en-US" w:eastAsia="zh-CN"/>
        </w:rPr>
        <w:t>润滑油在贮存过程中发生泄漏污染土壤和地下水、发生火灾产生伴生气CO对大气环境的污染等</w:t>
      </w:r>
      <w:r>
        <w:rPr>
          <w:color w:val="auto"/>
          <w:highlight w:val="none"/>
        </w:rPr>
        <w:t>。</w:t>
      </w:r>
    </w:p>
    <w:p>
      <w:pPr>
        <w:bidi w:val="0"/>
        <w:rPr>
          <w:color w:val="auto"/>
          <w:highlight w:val="none"/>
        </w:rPr>
      </w:pPr>
      <w:r>
        <w:rPr>
          <w:rFonts w:hint="eastAsia"/>
          <w:color w:val="auto"/>
          <w:highlight w:val="none"/>
          <w:lang w:eastAsia="zh-CN"/>
        </w:rPr>
        <w:t>（</w:t>
      </w:r>
      <w:r>
        <w:rPr>
          <w:color w:val="auto"/>
          <w:highlight w:val="none"/>
        </w:rPr>
        <w:t>3）环境风险类型及危害分析</w:t>
      </w:r>
    </w:p>
    <w:p>
      <w:pPr>
        <w:bidi w:val="0"/>
        <w:rPr>
          <w:color w:val="auto"/>
          <w:highlight w:val="none"/>
        </w:rPr>
      </w:pPr>
      <w:r>
        <w:rPr>
          <w:color w:val="auto"/>
          <w:highlight w:val="none"/>
        </w:rPr>
        <w:t>本项目发生可能性较大的事故有三类：</w:t>
      </w:r>
      <w:r>
        <w:rPr>
          <w:rFonts w:hint="eastAsia"/>
          <w:color w:val="auto"/>
          <w:highlight w:val="none"/>
          <w:lang w:val="en-US" w:eastAsia="zh-CN"/>
        </w:rPr>
        <w:t>泄漏</w:t>
      </w:r>
      <w:r>
        <w:rPr>
          <w:color w:val="auto"/>
          <w:highlight w:val="none"/>
        </w:rPr>
        <w:t>事故、火灾次生事故。</w:t>
      </w:r>
    </w:p>
    <w:p>
      <w:pPr>
        <w:bidi w:val="0"/>
        <w:rPr>
          <w:color w:val="auto"/>
          <w:highlight w:val="none"/>
        </w:rPr>
      </w:pPr>
      <w:r>
        <w:rPr>
          <w:rFonts w:hint="eastAsia"/>
          <w:color w:val="auto"/>
          <w:highlight w:val="none"/>
          <w:lang w:eastAsia="zh-CN"/>
        </w:rPr>
        <w:t>（</w:t>
      </w:r>
      <w:r>
        <w:rPr>
          <w:color w:val="auto"/>
          <w:highlight w:val="none"/>
        </w:rPr>
        <w:t>a）</w:t>
      </w:r>
      <w:r>
        <w:rPr>
          <w:rFonts w:hint="eastAsia"/>
          <w:color w:val="auto"/>
          <w:highlight w:val="none"/>
          <w:lang w:val="en-US" w:eastAsia="zh-CN"/>
        </w:rPr>
        <w:t>泄漏</w:t>
      </w:r>
      <w:r>
        <w:rPr>
          <w:color w:val="auto"/>
          <w:highlight w:val="none"/>
        </w:rPr>
        <w:t>事故</w:t>
      </w:r>
    </w:p>
    <w:p>
      <w:pPr>
        <w:bidi w:val="0"/>
        <w:rPr>
          <w:color w:val="auto"/>
          <w:highlight w:val="none"/>
        </w:rPr>
      </w:pPr>
      <w:r>
        <w:rPr>
          <w:color w:val="auto"/>
          <w:highlight w:val="none"/>
        </w:rPr>
        <w:t>主要是生产装置</w:t>
      </w:r>
      <w:r>
        <w:rPr>
          <w:rFonts w:hint="eastAsia"/>
          <w:color w:val="auto"/>
          <w:highlight w:val="none"/>
          <w:lang w:val="en-US" w:eastAsia="zh-CN"/>
        </w:rPr>
        <w:t>纸浆泄漏</w:t>
      </w:r>
      <w:r>
        <w:rPr>
          <w:color w:val="auto"/>
          <w:highlight w:val="none"/>
        </w:rPr>
        <w:t>、</w:t>
      </w:r>
      <w:r>
        <w:rPr>
          <w:rFonts w:hint="eastAsia"/>
          <w:color w:val="auto"/>
          <w:highlight w:val="none"/>
          <w:lang w:val="en-US" w:eastAsia="zh-CN"/>
        </w:rPr>
        <w:t>污水处理站污水泄漏</w:t>
      </w:r>
      <w:r>
        <w:rPr>
          <w:color w:val="auto"/>
          <w:highlight w:val="none"/>
        </w:rPr>
        <w:t>，</w:t>
      </w:r>
      <w:r>
        <w:rPr>
          <w:rFonts w:hint="eastAsia"/>
          <w:color w:val="auto"/>
          <w:highlight w:val="none"/>
          <w:lang w:val="en-US" w:eastAsia="zh-CN"/>
        </w:rPr>
        <w:t>润滑油储存设施泄漏，</w:t>
      </w:r>
      <w:r>
        <w:rPr>
          <w:color w:val="auto"/>
          <w:highlight w:val="none"/>
        </w:rPr>
        <w:t>导致</w:t>
      </w:r>
      <w:r>
        <w:rPr>
          <w:rFonts w:hint="eastAsia"/>
          <w:color w:val="auto"/>
          <w:highlight w:val="none"/>
          <w:lang w:val="en-US" w:eastAsia="zh-CN"/>
        </w:rPr>
        <w:t>土壤及地下水</w:t>
      </w:r>
      <w:r>
        <w:rPr>
          <w:color w:val="auto"/>
          <w:highlight w:val="none"/>
        </w:rPr>
        <w:t>环境污染。事故的可能性主要有：</w:t>
      </w:r>
    </w:p>
    <w:p>
      <w:pPr>
        <w:bidi w:val="0"/>
        <w:rPr>
          <w:color w:val="auto"/>
          <w:highlight w:val="none"/>
        </w:rPr>
      </w:pPr>
      <w:r>
        <w:rPr>
          <w:color w:val="auto"/>
          <w:highlight w:val="none"/>
        </w:rPr>
        <w:t>①作业人员不认真执行设备检修维护及现场巡检等安全管理规章制度，未能及时发现事故隐患并加以解决。</w:t>
      </w:r>
    </w:p>
    <w:p>
      <w:pPr>
        <w:bidi w:val="0"/>
        <w:rPr>
          <w:color w:val="auto"/>
          <w:highlight w:val="none"/>
        </w:rPr>
      </w:pPr>
      <w:r>
        <w:rPr>
          <w:color w:val="auto"/>
          <w:highlight w:val="none"/>
        </w:rPr>
        <w:t>②由于操作不当而</w:t>
      </w:r>
      <w:r>
        <w:rPr>
          <w:rFonts w:hint="eastAsia"/>
          <w:color w:val="auto"/>
          <w:highlight w:val="none"/>
          <w:lang w:val="en-US" w:eastAsia="zh-CN"/>
        </w:rPr>
        <w:t>泄漏</w:t>
      </w:r>
      <w:r>
        <w:rPr>
          <w:color w:val="auto"/>
          <w:highlight w:val="none"/>
        </w:rPr>
        <w:t>事故。</w:t>
      </w:r>
    </w:p>
    <w:p>
      <w:pPr>
        <w:bidi w:val="0"/>
        <w:rPr>
          <w:rFonts w:hint="default" w:eastAsia="宋体"/>
          <w:lang w:val="en-US" w:eastAsia="zh-CN"/>
        </w:rPr>
      </w:pPr>
      <w:r>
        <w:fldChar w:fldCharType="begin"/>
      </w:r>
      <w:r>
        <w:instrText xml:space="preserve"> = 3 \* GB3 \* MERGEFORMAT </w:instrText>
      </w:r>
      <w:r>
        <w:fldChar w:fldCharType="separate"/>
      </w:r>
      <w:r>
        <w:t>③</w:t>
      </w:r>
      <w:r>
        <w:fldChar w:fldCharType="end"/>
      </w:r>
      <w:r>
        <w:rPr>
          <w:rFonts w:hint="eastAsia"/>
          <w:lang w:val="en-US" w:eastAsia="zh-CN"/>
        </w:rPr>
        <w:t>生产设施活储存设施本体腐蚀，发生泄漏。</w:t>
      </w:r>
    </w:p>
    <w:p>
      <w:pPr>
        <w:bidi w:val="0"/>
        <w:rPr>
          <w:color w:val="auto"/>
          <w:highlight w:val="none"/>
        </w:rPr>
      </w:pPr>
      <w:r>
        <w:rPr>
          <w:rFonts w:hint="eastAsia"/>
          <w:color w:val="auto"/>
          <w:highlight w:val="none"/>
          <w:lang w:eastAsia="zh-CN"/>
        </w:rPr>
        <w:t>（</w:t>
      </w:r>
      <w:r>
        <w:rPr>
          <w:rFonts w:hint="eastAsia"/>
          <w:color w:val="auto"/>
          <w:highlight w:val="none"/>
          <w:lang w:val="en-US" w:eastAsia="zh-CN"/>
        </w:rPr>
        <w:t>b</w:t>
      </w:r>
      <w:r>
        <w:rPr>
          <w:color w:val="auto"/>
          <w:highlight w:val="none"/>
        </w:rPr>
        <w:t>）火灾次生事故</w:t>
      </w:r>
    </w:p>
    <w:p>
      <w:pPr>
        <w:bidi w:val="0"/>
        <w:rPr>
          <w:color w:val="auto"/>
          <w:highlight w:val="none"/>
        </w:rPr>
      </w:pPr>
      <w:r>
        <w:rPr>
          <w:color w:val="auto"/>
          <w:highlight w:val="none"/>
        </w:rPr>
        <w:t>原料及成品仓库遇明火、高热产生燃烧，</w:t>
      </w:r>
      <w:r>
        <w:rPr>
          <w:rFonts w:hint="eastAsia"/>
          <w:color w:val="auto"/>
          <w:highlight w:val="none"/>
          <w:lang w:val="en-US" w:eastAsia="zh-CN"/>
        </w:rPr>
        <w:t>润滑油</w:t>
      </w:r>
      <w:r>
        <w:rPr>
          <w:color w:val="auto"/>
          <w:highlight w:val="none"/>
        </w:rPr>
        <w:t>遇明火、高热产生燃烧</w:t>
      </w:r>
      <w:r>
        <w:rPr>
          <w:rFonts w:hint="eastAsia"/>
          <w:color w:val="auto"/>
          <w:highlight w:val="none"/>
          <w:lang w:eastAsia="zh-CN"/>
        </w:rPr>
        <w:t>，</w:t>
      </w:r>
      <w:r>
        <w:rPr>
          <w:color w:val="auto"/>
          <w:highlight w:val="none"/>
        </w:rPr>
        <w:t>火灾燃烧为不充分燃烧，它不仅会伴生一氧化碳等大气污染物排放，在扑灭火灾过程中还会产生大量的消防尾水，如处理不当会造成水体污染。</w:t>
      </w:r>
    </w:p>
    <w:p>
      <w:pPr>
        <w:bidi w:val="0"/>
        <w:rPr>
          <w:color w:val="auto"/>
          <w:highlight w:val="none"/>
        </w:rPr>
      </w:pPr>
      <w:r>
        <w:rPr>
          <w:rFonts w:hint="eastAsia"/>
          <w:color w:val="auto"/>
          <w:highlight w:val="none"/>
          <w:lang w:eastAsia="zh-CN"/>
        </w:rPr>
        <w:t>（</w:t>
      </w:r>
      <w:r>
        <w:rPr>
          <w:color w:val="auto"/>
          <w:highlight w:val="none"/>
        </w:rPr>
        <w:t>4）环境敏感性识别</w:t>
      </w:r>
    </w:p>
    <w:p>
      <w:pPr>
        <w:bidi w:val="0"/>
        <w:rPr>
          <w:color w:val="auto"/>
          <w:highlight w:val="none"/>
        </w:rPr>
      </w:pPr>
      <w:r>
        <w:rPr>
          <w:color w:val="auto"/>
          <w:highlight w:val="none"/>
        </w:rPr>
        <w:t>根据现场勘查，评价范围内主要环境敏感目标以村庄为主，厂区周围敏感目标分布与厂区的距离详见表</w:t>
      </w:r>
      <w:r>
        <w:rPr>
          <w:rFonts w:hint="eastAsia"/>
          <w:color w:val="auto"/>
          <w:highlight w:val="none"/>
          <w:lang w:val="en-US" w:eastAsia="zh-CN"/>
        </w:rPr>
        <w:t>5.2.7.1-1</w:t>
      </w:r>
      <w:r>
        <w:rPr>
          <w:color w:val="auto"/>
          <w:highlight w:val="none"/>
        </w:rPr>
        <w:t>。</w:t>
      </w:r>
    </w:p>
    <w:p>
      <w:pPr>
        <w:bidi w:val="0"/>
        <w:rPr>
          <w:color w:val="auto"/>
          <w:highlight w:val="none"/>
        </w:rPr>
      </w:pPr>
      <w:r>
        <w:rPr>
          <w:color w:val="auto"/>
          <w:highlight w:val="none"/>
        </w:rPr>
        <w:t>表</w:t>
      </w:r>
      <w:r>
        <w:rPr>
          <w:rFonts w:hint="eastAsia"/>
          <w:color w:val="auto"/>
          <w:highlight w:val="none"/>
          <w:lang w:val="en-US" w:eastAsia="zh-CN"/>
        </w:rPr>
        <w:t>5.2.7.1-1</w:t>
      </w:r>
      <w:r>
        <w:rPr>
          <w:color w:val="auto"/>
          <w:highlight w:val="none"/>
        </w:rPr>
        <w:t xml:space="preserve">    </w:t>
      </w:r>
      <w:r>
        <w:rPr>
          <w:rFonts w:hint="eastAsia"/>
          <w:color w:val="auto"/>
          <w:highlight w:val="none"/>
          <w:lang w:val="en-US" w:eastAsia="zh-CN"/>
        </w:rPr>
        <w:t xml:space="preserve">          </w:t>
      </w:r>
      <w:r>
        <w:rPr>
          <w:color w:val="auto"/>
          <w:highlight w:val="none"/>
        </w:rPr>
        <w:t>环境保护目标一览表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03"/>
        <w:gridCol w:w="2018"/>
        <w:gridCol w:w="1925"/>
        <w:gridCol w:w="1932"/>
        <w:gridCol w:w="21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环境要素</w:t>
            </w:r>
          </w:p>
        </w:tc>
        <w:tc>
          <w:tcPr>
            <w:tcW w:w="1105"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保护对象</w:t>
            </w:r>
          </w:p>
        </w:tc>
        <w:tc>
          <w:tcPr>
            <w:tcW w:w="1054"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相对厂区边界位置、最近距离m</w:t>
            </w:r>
          </w:p>
        </w:tc>
        <w:tc>
          <w:tcPr>
            <w:tcW w:w="1057"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受影响人数</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人）</w:t>
            </w:r>
          </w:p>
        </w:tc>
        <w:tc>
          <w:tcPr>
            <w:tcW w:w="1178"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功能要求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环境空气</w:t>
            </w:r>
          </w:p>
        </w:tc>
        <w:tc>
          <w:tcPr>
            <w:tcW w:w="110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老山头乡</w:t>
            </w:r>
          </w:p>
        </w:tc>
        <w:tc>
          <w:tcPr>
            <w:tcW w:w="105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W</w:t>
            </w:r>
            <w:r>
              <w:rPr>
                <w:rFonts w:ascii="Times New Roman" w:hAnsi="Times New Roman" w:eastAsia="宋体" w:cs="Times New Roman"/>
                <w:color w:val="auto"/>
                <w:w w:val="100"/>
                <w:sz w:val="21"/>
                <w:highlight w:val="none"/>
              </w:rPr>
              <w:t>，23</w:t>
            </w:r>
            <w:r>
              <w:rPr>
                <w:rFonts w:hint="eastAsia" w:ascii="Times New Roman" w:hAnsi="Times New Roman" w:eastAsia="宋体" w:cs="Times New Roman"/>
                <w:color w:val="auto"/>
                <w:w w:val="100"/>
                <w:sz w:val="21"/>
                <w:highlight w:val="none"/>
                <w:lang w:val="en-US" w:eastAsia="zh-CN"/>
              </w:rPr>
              <w:t>73</w:t>
            </w:r>
          </w:p>
        </w:tc>
        <w:tc>
          <w:tcPr>
            <w:tcW w:w="1057"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3000</w:t>
            </w:r>
          </w:p>
        </w:tc>
        <w:tc>
          <w:tcPr>
            <w:tcW w:w="1178"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《环境空气质量标准》</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GB3095-2012）</w:t>
            </w:r>
          </w:p>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中二类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四大家屯</w:t>
            </w:r>
          </w:p>
        </w:tc>
        <w:tc>
          <w:tcPr>
            <w:tcW w:w="105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SW，2426</w:t>
            </w:r>
          </w:p>
        </w:tc>
        <w:tc>
          <w:tcPr>
            <w:tcW w:w="1057"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500</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乔家围子</w:t>
            </w:r>
          </w:p>
        </w:tc>
        <w:tc>
          <w:tcPr>
            <w:tcW w:w="105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SE，1241</w:t>
            </w:r>
          </w:p>
        </w:tc>
        <w:tc>
          <w:tcPr>
            <w:tcW w:w="1057"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300</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后乔家围子</w:t>
            </w:r>
          </w:p>
        </w:tc>
        <w:tc>
          <w:tcPr>
            <w:tcW w:w="105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SE，210</w:t>
            </w:r>
          </w:p>
        </w:tc>
        <w:tc>
          <w:tcPr>
            <w:tcW w:w="1057"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300</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永久村</w:t>
            </w:r>
          </w:p>
        </w:tc>
        <w:tc>
          <w:tcPr>
            <w:tcW w:w="105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NE，1844</w:t>
            </w:r>
          </w:p>
        </w:tc>
        <w:tc>
          <w:tcPr>
            <w:tcW w:w="1057"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500</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地下水环境</w:t>
            </w: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散户</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ascii="Times New Roman" w:hAnsi="Times New Roman" w:eastAsia="宋体" w:cs="Times New Roman"/>
                <w:caps w:val="0"/>
                <w:smallCaps w:val="0"/>
                <w:color w:val="auto"/>
                <w:spacing w:val="0"/>
                <w:w w:val="100"/>
                <w:position w:val="0"/>
                <w:sz w:val="21"/>
                <w:szCs w:val="21"/>
                <w:highlight w:val="none"/>
              </w:rPr>
              <w:t>N</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W</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1216</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75m，</w:t>
            </w:r>
            <w:r>
              <w:rPr>
                <w:rFonts w:hint="eastAsia" w:ascii="Times New Roman" w:hAnsi="Times New Roman" w:eastAsia="宋体" w:cs="Times New Roman"/>
                <w:color w:val="auto"/>
                <w:w w:val="100"/>
                <w:kern w:val="2"/>
                <w:sz w:val="21"/>
                <w:szCs w:val="21"/>
                <w:highlight w:val="none"/>
                <w:lang w:val="en-US" w:eastAsia="zh-CN" w:bidi="ar-SA"/>
              </w:rPr>
              <w:t>生活饮用水</w:t>
            </w:r>
          </w:p>
        </w:tc>
        <w:tc>
          <w:tcPr>
            <w:tcW w:w="1178" w:type="pct"/>
            <w:vMerge w:val="restar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《地下水质量标准》</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GB/T14848-2017）Ⅲ类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大庆金开元加工厂</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NE</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686</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74m、仅供该企业厂区生产、绿化用水井</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val="en-US" w:eastAsia="zh-CN"/>
              </w:rPr>
              <w:t>大庆虹桥纸业有限公司</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NW，423</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75m、仅供该企业厂区生产、绿化用水井</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后桥家围子</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w:t>
            </w:r>
            <w:r>
              <w:rPr>
                <w:rFonts w:hint="eastAsia" w:cs="Times New Roman"/>
                <w:caps w:val="0"/>
                <w:smallCaps w:val="0"/>
                <w:color w:val="auto"/>
                <w:spacing w:val="0"/>
                <w:w w:val="100"/>
                <w:position w:val="0"/>
                <w:sz w:val="21"/>
                <w:szCs w:val="21"/>
                <w:highlight w:val="none"/>
                <w:lang w:val="en-US" w:eastAsia="zh-CN"/>
              </w:rPr>
              <w:t>210</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71m，</w:t>
            </w:r>
            <w:r>
              <w:rPr>
                <w:rFonts w:hint="eastAsia" w:ascii="Times New Roman" w:hAnsi="Times New Roman" w:eastAsia="宋体" w:cs="Times New Roman"/>
                <w:color w:val="auto"/>
                <w:w w:val="100"/>
                <w:kern w:val="2"/>
                <w:sz w:val="21"/>
                <w:szCs w:val="21"/>
                <w:highlight w:val="none"/>
                <w:lang w:val="en-US" w:eastAsia="zh-CN" w:bidi="ar-SA"/>
              </w:rPr>
              <w:t>生活饮用水</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桥家围子水</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SE，1365</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72m，</w:t>
            </w:r>
            <w:r>
              <w:rPr>
                <w:rFonts w:hint="eastAsia" w:ascii="Times New Roman" w:hAnsi="Times New Roman" w:eastAsia="宋体" w:cs="Times New Roman"/>
                <w:color w:val="auto"/>
                <w:w w:val="100"/>
                <w:kern w:val="2"/>
                <w:sz w:val="21"/>
                <w:szCs w:val="21"/>
                <w:highlight w:val="none"/>
                <w:lang w:val="en-US" w:eastAsia="zh-CN" w:bidi="ar-SA"/>
              </w:rPr>
              <w:t>生活饮用水</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c>
          <w:tcPr>
            <w:tcW w:w="1105"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val="en-US" w:eastAsia="zh-CN"/>
              </w:rPr>
              <w:t>项目厂址</w:t>
            </w:r>
          </w:p>
        </w:tc>
        <w:tc>
          <w:tcPr>
            <w:tcW w:w="10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10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hAnsi="Times New Roman" w:eastAsia="宋体" w:cs="Times New Roman"/>
                <w:caps w:val="0"/>
                <w:smallCaps w:val="0"/>
                <w:color w:val="auto"/>
                <w:spacing w:val="0"/>
                <w:w w:val="100"/>
                <w:position w:val="0"/>
                <w:sz w:val="21"/>
                <w:szCs w:val="21"/>
                <w:highlight w:val="none"/>
                <w:lang w:eastAsia="zh-CN"/>
              </w:rPr>
              <w:t>井深</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74m、仅供该企业厂区生产、绿化用水井</w:t>
            </w:r>
          </w:p>
        </w:tc>
        <w:tc>
          <w:tcPr>
            <w:tcW w:w="1178" w:type="pct"/>
            <w:vMerge w:val="continue"/>
            <w:tcBorders>
              <w:tl2br w:val="nil"/>
              <w:tr2bl w:val="nil"/>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tcBorders>
              <w:tl2br w:val="nil"/>
              <w:tr2bl w:val="nil"/>
            </w:tcBorders>
            <w:vAlign w:val="center"/>
          </w:tcPr>
          <w:p>
            <w:pPr>
              <w:pStyle w:val="31"/>
              <w:bidi w:val="0"/>
              <w:ind w:firstLine="0" w:firstLineChars="0"/>
              <w:rPr>
                <w:rFonts w:hint="eastAsia"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地表水</w:t>
            </w:r>
          </w:p>
        </w:tc>
        <w:tc>
          <w:tcPr>
            <w:tcW w:w="1105" w:type="pct"/>
            <w:tcBorders>
              <w:tl2br w:val="nil"/>
              <w:tr2bl w:val="nil"/>
            </w:tcBorders>
            <w:vAlign w:val="center"/>
          </w:tcPr>
          <w:p>
            <w:pPr>
              <w:pStyle w:val="31"/>
              <w:bidi w:val="0"/>
              <w:ind w:firstLine="0" w:firstLineChars="0"/>
              <w:rPr>
                <w:rFonts w:hint="eastAsia"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eastAsia="zh-CN"/>
              </w:rPr>
              <w:t>库里泡</w:t>
            </w:r>
          </w:p>
        </w:tc>
        <w:tc>
          <w:tcPr>
            <w:tcW w:w="1054" w:type="pct"/>
            <w:tcBorders>
              <w:tl2br w:val="nil"/>
              <w:tr2bl w:val="nil"/>
            </w:tcBorders>
            <w:vAlign w:val="center"/>
          </w:tcPr>
          <w:p>
            <w:pPr>
              <w:pStyle w:val="31"/>
              <w:bidi w:val="0"/>
              <w:ind w:firstLine="0" w:firstLineChars="0"/>
              <w:rPr>
                <w:rFonts w:hint="default" w:ascii="Times New Roman" w:hAnsi="Times New Roman" w:eastAsia="宋体" w:cs="Times New Roman"/>
                <w:color w:val="auto"/>
                <w:w w:val="100"/>
                <w:sz w:val="21"/>
                <w:szCs w:val="21"/>
                <w:highlight w:val="none"/>
                <w:lang w:val="en-US" w:eastAsia="zh-CN" w:bidi="ar-SA"/>
              </w:rPr>
            </w:pPr>
            <w:r>
              <w:rPr>
                <w:rFonts w:hint="eastAsia" w:ascii="Times New Roman" w:hAnsi="Times New Roman" w:eastAsia="宋体" w:cs="Times New Roman"/>
                <w:color w:val="auto"/>
                <w:w w:val="100"/>
                <w:sz w:val="21"/>
                <w:highlight w:val="none"/>
                <w:lang w:val="en-US" w:eastAsia="zh-CN"/>
              </w:rPr>
              <w:t>SE，5200</w:t>
            </w:r>
          </w:p>
        </w:tc>
        <w:tc>
          <w:tcPr>
            <w:tcW w:w="1057"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val="en-US" w:eastAsia="zh-CN"/>
              </w:rPr>
              <w:t>/</w:t>
            </w:r>
          </w:p>
        </w:tc>
        <w:tc>
          <w:tcPr>
            <w:tcW w:w="1178"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《地表水 环境质量标准》（GB3838-2002）中</w:t>
            </w:r>
            <w:r>
              <w:rPr>
                <w:rFonts w:hint="eastAsia" w:cs="Times New Roman"/>
                <w:color w:val="auto"/>
                <w:w w:val="100"/>
                <w:sz w:val="21"/>
                <w:highlight w:val="none"/>
                <w:lang w:val="en-US" w:eastAsia="zh-CN"/>
              </w:rPr>
              <w:t>V</w:t>
            </w:r>
            <w:r>
              <w:rPr>
                <w:rFonts w:hint="eastAsia" w:ascii="Times New Roman" w:hAnsi="Times New Roman" w:eastAsia="宋体" w:cs="Times New Roman"/>
                <w:color w:val="auto"/>
                <w:w w:val="100"/>
                <w:sz w:val="21"/>
                <w:highlight w:val="none"/>
                <w:lang w:val="en-US" w:eastAsia="zh-CN"/>
              </w:rPr>
              <w:t>类水体标准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声环境</w:t>
            </w:r>
          </w:p>
        </w:tc>
        <w:tc>
          <w:tcPr>
            <w:tcW w:w="3217" w:type="pct"/>
            <w:gridSpan w:val="3"/>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厂界外200m范围内</w:t>
            </w:r>
          </w:p>
        </w:tc>
        <w:tc>
          <w:tcPr>
            <w:tcW w:w="1178"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《声环境质量标准》</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GB3096-2008）</w:t>
            </w:r>
            <w:r>
              <w:rPr>
                <w:rFonts w:hint="eastAsia" w:cs="Times New Roman"/>
                <w:color w:val="auto"/>
                <w:w w:val="100"/>
                <w:sz w:val="21"/>
                <w:highlight w:val="none"/>
                <w:lang w:val="en-US" w:eastAsia="zh-CN"/>
              </w:rPr>
              <w:t>3</w:t>
            </w:r>
            <w:r>
              <w:rPr>
                <w:rFonts w:hint="eastAsia" w:ascii="Times New Roman" w:hAnsi="Times New Roman" w:eastAsia="宋体" w:cs="Times New Roman"/>
                <w:color w:val="auto"/>
                <w:w w:val="100"/>
                <w:sz w:val="21"/>
                <w:highlight w:val="none"/>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tcBorders>
              <w:tl2br w:val="nil"/>
              <w:tr2bl w:val="nil"/>
            </w:tcBorders>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土壤环境</w:t>
            </w:r>
          </w:p>
        </w:tc>
        <w:tc>
          <w:tcPr>
            <w:tcW w:w="3217" w:type="pct"/>
            <w:gridSpan w:val="3"/>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rPr>
              <w:t>占地范围外</w:t>
            </w:r>
            <w:r>
              <w:rPr>
                <w:rFonts w:hint="eastAsia" w:ascii="Times New Roman" w:hAnsi="Times New Roman" w:eastAsia="宋体" w:cs="Times New Roman"/>
                <w:color w:val="auto"/>
                <w:w w:val="100"/>
                <w:sz w:val="21"/>
                <w:highlight w:val="none"/>
                <w:lang w:val="en-US" w:eastAsia="zh-CN"/>
              </w:rPr>
              <w:t>200</w:t>
            </w:r>
            <w:r>
              <w:rPr>
                <w:rFonts w:hint="eastAsia" w:ascii="Times New Roman" w:hAnsi="Times New Roman" w:eastAsia="宋体" w:cs="Times New Roman"/>
                <w:color w:val="auto"/>
                <w:w w:val="100"/>
                <w:sz w:val="21"/>
                <w:highlight w:val="none"/>
              </w:rPr>
              <w:t>m范围内</w:t>
            </w:r>
          </w:p>
        </w:tc>
        <w:tc>
          <w:tcPr>
            <w:tcW w:w="1178" w:type="pct"/>
            <w:tcBorders>
              <w:tl2br w:val="nil"/>
              <w:tr2bl w:val="nil"/>
            </w:tcBorders>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土壤环境质量 建设用地土壤污染风险管控标准</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试行）</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GB36600-2018</w:t>
            </w:r>
            <w:r>
              <w:rPr>
                <w:rFonts w:hint="eastAsia" w:ascii="Times New Roman" w:hAnsi="Times New Roman" w:eastAsia="宋体" w:cs="Times New Roman"/>
                <w:color w:val="auto"/>
                <w:w w:val="100"/>
                <w:sz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04"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生态影响</w:t>
            </w:r>
          </w:p>
        </w:tc>
        <w:tc>
          <w:tcPr>
            <w:tcW w:w="3217" w:type="pct"/>
            <w:gridSpan w:val="3"/>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厂区外200m以内的范围</w:t>
            </w:r>
          </w:p>
        </w:tc>
        <w:tc>
          <w:tcPr>
            <w:tcW w:w="1178" w:type="pct"/>
            <w:tcBorders>
              <w:tl2br w:val="nil"/>
              <w:tr2bl w:val="nil"/>
            </w:tcBorders>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w:t>
            </w:r>
          </w:p>
        </w:tc>
      </w:tr>
    </w:tbl>
    <w:p>
      <w:pPr>
        <w:spacing w:line="35" w:lineRule="exact"/>
        <w:rPr>
          <w:rFonts w:ascii="Times New Roman" w:hAnsi="Times New Roman" w:eastAsia="宋体" w:cs="Times New Roman"/>
          <w:color w:val="auto"/>
          <w:spacing w:val="0"/>
          <w:w w:val="99"/>
          <w:position w:val="0"/>
          <w:highlight w:val="none"/>
        </w:rPr>
      </w:pP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5.2.7.2评价级别、范围</w:t>
      </w:r>
    </w:p>
    <w:p>
      <w:pPr>
        <w:bidi w:val="0"/>
        <w:rPr>
          <w:color w:val="auto"/>
          <w:highlight w:val="none"/>
        </w:rPr>
      </w:pPr>
      <w:r>
        <w:rPr>
          <w:color w:val="auto"/>
          <w:highlight w:val="none"/>
        </w:rPr>
        <w:t>根据《建设项目环境风险评价技术导则》</w:t>
      </w:r>
      <w:r>
        <w:rPr>
          <w:rFonts w:hint="eastAsia"/>
          <w:color w:val="auto"/>
          <w:highlight w:val="none"/>
          <w:lang w:eastAsia="zh-CN"/>
        </w:rPr>
        <w:t>（</w:t>
      </w:r>
      <w:r>
        <w:rPr>
          <w:color w:val="auto"/>
          <w:highlight w:val="none"/>
        </w:rPr>
        <w:t>HJ169-2018）附录B进行分析判定，本项目涉及危险物质主要为</w:t>
      </w:r>
      <w:r>
        <w:rPr>
          <w:rFonts w:hint="eastAsia"/>
          <w:color w:val="auto"/>
          <w:highlight w:val="none"/>
          <w:lang w:val="en-US" w:eastAsia="zh-CN"/>
        </w:rPr>
        <w:t>润滑油及发生火灾后伴生的CO</w:t>
      </w:r>
      <w:r>
        <w:rPr>
          <w:color w:val="auto"/>
          <w:highlight w:val="none"/>
        </w:rPr>
        <w:t>，可能扩散途径为发生火灾、爆炸事故产生污染物污染大气环境，因此环境风险类型主要为大气环境风险。</w:t>
      </w:r>
    </w:p>
    <w:p>
      <w:pPr>
        <w:bidi w:val="0"/>
        <w:rPr>
          <w:color w:val="auto"/>
          <w:highlight w:val="none"/>
        </w:rPr>
      </w:pPr>
      <w:r>
        <w:rPr>
          <w:color w:val="auto"/>
          <w:highlight w:val="none"/>
        </w:rPr>
        <w:t>根据《建设项目环境风险评价技术导则》</w:t>
      </w:r>
      <w:r>
        <w:rPr>
          <w:rFonts w:hint="eastAsia"/>
          <w:color w:val="auto"/>
          <w:highlight w:val="none"/>
          <w:lang w:eastAsia="zh-CN"/>
        </w:rPr>
        <w:t>（</w:t>
      </w:r>
      <w:r>
        <w:rPr>
          <w:color w:val="auto"/>
          <w:highlight w:val="none"/>
        </w:rPr>
        <w:t>HJ169-2018）规定：环境风险评价工作等级划分为一级、二级、三级。根据建设项目涉及的物质及工艺系统危险性和所在地的环境敏感性确定环境风险潜势。风险潜势为Ⅳ及以上，进行一级评价；风险潜势为Ⅲ，进行二级评价；风险潜势为Ⅱ，进行三级评价；风险潜势为Ⅰ，可开展简单分析。</w:t>
      </w:r>
    </w:p>
    <w:p>
      <w:pPr>
        <w:bidi w:val="0"/>
        <w:rPr>
          <w:rFonts w:hint="default"/>
          <w:color w:val="auto"/>
          <w:highlight w:val="none"/>
          <w:lang w:val="en-US" w:eastAsia="zh-CN"/>
        </w:rPr>
      </w:pPr>
      <w:r>
        <w:rPr>
          <w:color w:val="auto"/>
          <w:highlight w:val="none"/>
        </w:rPr>
        <w:t>本项目危险物质主要为</w:t>
      </w:r>
      <w:r>
        <w:rPr>
          <w:rFonts w:hint="eastAsia"/>
          <w:color w:val="auto"/>
          <w:highlight w:val="none"/>
          <w:lang w:eastAsia="zh-CN"/>
        </w:rPr>
        <w:t>润滑油</w:t>
      </w:r>
      <w:r>
        <w:rPr>
          <w:color w:val="auto"/>
          <w:highlight w:val="none"/>
        </w:rPr>
        <w:t>，风险源主要</w:t>
      </w:r>
      <w:r>
        <w:rPr>
          <w:rFonts w:hint="eastAsia"/>
          <w:color w:val="auto"/>
          <w:highlight w:val="none"/>
          <w:lang w:val="en-US" w:eastAsia="zh-CN"/>
        </w:rPr>
        <w:t>为机修间</w:t>
      </w:r>
      <w:r>
        <w:rPr>
          <w:color w:val="auto"/>
          <w:highlight w:val="none"/>
        </w:rPr>
        <w:t>。</w:t>
      </w:r>
      <w:r>
        <w:rPr>
          <w:rFonts w:hint="eastAsia"/>
          <w:color w:val="auto"/>
          <w:highlight w:val="none"/>
          <w:lang w:eastAsia="zh-CN"/>
        </w:rPr>
        <w:t>本项目润滑油的</w:t>
      </w:r>
      <w:r>
        <w:rPr>
          <w:rFonts w:hint="eastAsia"/>
          <w:color w:val="auto"/>
          <w:highlight w:val="none"/>
          <w:lang w:val="en-US" w:eastAsia="zh-CN"/>
        </w:rPr>
        <w:t>最大存储量</w:t>
      </w:r>
      <w:r>
        <w:rPr>
          <w:rFonts w:hint="eastAsia"/>
          <w:color w:val="auto"/>
          <w:highlight w:val="none"/>
          <w:lang w:eastAsia="zh-CN"/>
        </w:rPr>
        <w:t>约为</w:t>
      </w:r>
      <w:r>
        <w:rPr>
          <w:rFonts w:hint="eastAsia"/>
          <w:color w:val="auto"/>
          <w:highlight w:val="none"/>
          <w:lang w:val="en-US" w:eastAsia="zh-CN"/>
        </w:rPr>
        <w:t>0.1t/a。</w:t>
      </w:r>
    </w:p>
    <w:p>
      <w:pPr>
        <w:bidi w:val="0"/>
        <w:rPr>
          <w:color w:val="auto"/>
          <w:highlight w:val="none"/>
        </w:rPr>
      </w:pPr>
      <w:r>
        <w:rPr>
          <w:color w:val="auto"/>
          <w:highlight w:val="none"/>
        </w:rPr>
        <w:t>①危险物质数量与临界量的比值</w:t>
      </w:r>
      <w:r>
        <w:rPr>
          <w:rFonts w:hint="eastAsia"/>
          <w:color w:val="auto"/>
          <w:highlight w:val="none"/>
          <w:lang w:eastAsia="zh-CN"/>
        </w:rPr>
        <w:t>（</w:t>
      </w:r>
      <w:r>
        <w:rPr>
          <w:color w:val="auto"/>
          <w:highlight w:val="none"/>
        </w:rPr>
        <w:t>Q）</w:t>
      </w:r>
    </w:p>
    <w:p>
      <w:pPr>
        <w:bidi w:val="0"/>
        <w:rPr>
          <w:rFonts w:hint="eastAsia"/>
          <w:color w:val="auto"/>
          <w:highlight w:val="none"/>
          <w:lang w:eastAsia="zh-CN"/>
        </w:rPr>
      </w:pPr>
      <w:r>
        <w:rPr>
          <w:color w:val="auto"/>
          <w:highlight w:val="none"/>
        </w:rPr>
        <w:t>表</w:t>
      </w:r>
      <w:r>
        <w:rPr>
          <w:rFonts w:hint="eastAsia"/>
          <w:color w:val="auto"/>
          <w:highlight w:val="none"/>
          <w:lang w:val="en-US" w:eastAsia="zh-CN"/>
        </w:rPr>
        <w:t>5.2.7.2-1</w:t>
      </w:r>
      <w:r>
        <w:rPr>
          <w:color w:val="auto"/>
          <w:highlight w:val="none"/>
        </w:rPr>
        <w:t xml:space="preserve">    </w:t>
      </w:r>
      <w:r>
        <w:rPr>
          <w:rFonts w:hint="eastAsia"/>
          <w:color w:val="auto"/>
          <w:highlight w:val="none"/>
          <w:lang w:val="en-US" w:eastAsia="zh-CN"/>
        </w:rPr>
        <w:t xml:space="preserve">   </w:t>
      </w:r>
      <w:r>
        <w:rPr>
          <w:color w:val="auto"/>
          <w:highlight w:val="none"/>
        </w:rPr>
        <w:t>本项目环境风险物质数量、临界量及其比值</w:t>
      </w:r>
      <w:r>
        <w:rPr>
          <w:rFonts w:hint="eastAsia"/>
          <w:color w:val="auto"/>
          <w:highlight w:val="none"/>
          <w:lang w:eastAsia="zh-CN"/>
        </w:rPr>
        <w:t>（</w:t>
      </w:r>
      <w:r>
        <w:rPr>
          <w:color w:val="auto"/>
          <w:highlight w:val="none"/>
        </w:rPr>
        <w:t>Q</w:t>
      </w:r>
      <w:r>
        <w:rPr>
          <w:rFonts w:hint="eastAsia"/>
          <w:color w:val="auto"/>
          <w:highlight w:val="none"/>
          <w:lang w:eastAsia="zh-CN"/>
        </w:rPr>
        <w:t>）</w:t>
      </w:r>
    </w:p>
    <w:p>
      <w:pPr>
        <w:spacing w:line="30" w:lineRule="exact"/>
        <w:rPr>
          <w:rFonts w:ascii="Times New Roman" w:hAnsi="Times New Roman" w:eastAsia="宋体" w:cs="Times New Roman"/>
          <w:caps w:val="0"/>
          <w:smallCaps w:val="0"/>
          <w:color w:val="auto"/>
          <w:spacing w:val="0"/>
          <w:w w:val="99"/>
          <w:position w:val="0"/>
          <w:highlight w:val="none"/>
        </w:rPr>
      </w:pPr>
    </w:p>
    <w:tbl>
      <w:tblPr>
        <w:tblStyle w:val="28"/>
        <w:tblW w:w="9157"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68"/>
        <w:gridCol w:w="1726"/>
        <w:gridCol w:w="1368"/>
        <w:gridCol w:w="2440"/>
        <w:gridCol w:w="1531"/>
        <w:gridCol w:w="122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8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序号</w:t>
            </w:r>
          </w:p>
        </w:tc>
        <w:tc>
          <w:tcPr>
            <w:tcW w:w="17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危险物质名称</w:t>
            </w:r>
          </w:p>
        </w:tc>
        <w:tc>
          <w:tcPr>
            <w:tcW w:w="13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CAS号</w:t>
            </w:r>
          </w:p>
        </w:tc>
        <w:tc>
          <w:tcPr>
            <w:tcW w:w="24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最大存在总量q</w:t>
            </w:r>
            <w:r>
              <w:rPr>
                <w:rFonts w:ascii="Times New Roman" w:hAnsi="Times New Roman" w:eastAsia="宋体" w:cs="Times New Roman"/>
                <w:caps w:val="0"/>
                <w:smallCaps w:val="0"/>
                <w:color w:val="auto"/>
                <w:spacing w:val="0"/>
                <w:w w:val="100"/>
                <w:position w:val="0"/>
                <w:sz w:val="21"/>
                <w:szCs w:val="21"/>
                <w:highlight w:val="none"/>
                <w:vertAlign w:val="subscript"/>
              </w:rPr>
              <w:t>n</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p>
        </w:tc>
        <w:tc>
          <w:tcPr>
            <w:tcW w:w="15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临界量Q</w:t>
            </w:r>
            <w:r>
              <w:rPr>
                <w:rFonts w:ascii="Times New Roman" w:hAnsi="Times New Roman" w:eastAsia="宋体" w:cs="Times New Roman"/>
                <w:caps w:val="0"/>
                <w:smallCaps w:val="0"/>
                <w:color w:val="auto"/>
                <w:spacing w:val="0"/>
                <w:w w:val="100"/>
                <w:position w:val="0"/>
                <w:sz w:val="21"/>
                <w:szCs w:val="21"/>
                <w:highlight w:val="none"/>
                <w:vertAlign w:val="subscript"/>
              </w:rPr>
              <w:t>n</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Q值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8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1</w:t>
            </w:r>
          </w:p>
        </w:tc>
        <w:tc>
          <w:tcPr>
            <w:tcW w:w="17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润滑油</w:t>
            </w:r>
          </w:p>
        </w:tc>
        <w:tc>
          <w:tcPr>
            <w:tcW w:w="13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w:t>
            </w:r>
          </w:p>
        </w:tc>
        <w:tc>
          <w:tcPr>
            <w:tcW w:w="24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0.1</w:t>
            </w:r>
          </w:p>
        </w:tc>
        <w:tc>
          <w:tcPr>
            <w:tcW w:w="15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2500</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7933"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本项目Q值</w:t>
            </w:r>
          </w:p>
        </w:tc>
        <w:tc>
          <w:tcPr>
            <w:tcW w:w="1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0.0000</w:t>
            </w:r>
            <w:r>
              <w:rPr>
                <w:rFonts w:hint="eastAsia" w:ascii="Times New Roman" w:cs="Times New Roman"/>
                <w:caps w:val="0"/>
                <w:smallCaps w:val="0"/>
                <w:color w:val="auto"/>
                <w:spacing w:val="0"/>
                <w:w w:val="100"/>
                <w:position w:val="0"/>
                <w:sz w:val="21"/>
                <w:szCs w:val="21"/>
                <w:highlight w:val="none"/>
                <w:lang w:val="en-US" w:eastAsia="zh-CN"/>
              </w:rPr>
              <w:t>4</w:t>
            </w:r>
          </w:p>
        </w:tc>
      </w:tr>
    </w:tbl>
    <w:p>
      <w:pPr>
        <w:bidi w:val="0"/>
        <w:rPr>
          <w:color w:val="auto"/>
          <w:highlight w:val="none"/>
        </w:rPr>
      </w:pPr>
      <w:r>
        <w:rPr>
          <w:color w:val="auto"/>
          <w:highlight w:val="none"/>
        </w:rPr>
        <w:t>根据《建设项目环境风险评价技术导则》HJ169-2018中附录C，当Q＜1时，项目环境风险潜势为Ⅰ。</w:t>
      </w:r>
    </w:p>
    <w:p>
      <w:pPr>
        <w:bidi w:val="0"/>
        <w:rPr>
          <w:rFonts w:ascii="Times New Roman" w:hAnsi="Times New Roman" w:cs="Times New Roman"/>
          <w:color w:val="auto"/>
          <w:highlight w:val="none"/>
        </w:rPr>
      </w:pPr>
      <w:r>
        <w:rPr>
          <w:rFonts w:ascii="Times New Roman" w:hAnsi="Times New Roman" w:cs="Times New Roman"/>
          <w:color w:val="auto"/>
          <w:highlight w:val="none"/>
        </w:rPr>
        <w:t>②环境风险评价等级</w:t>
      </w:r>
    </w:p>
    <w:p>
      <w:pPr>
        <w:bidi w:val="0"/>
        <w:rPr>
          <w:rFonts w:ascii="Times New Roman" w:hAnsi="Times New Roman" w:cs="Times New Roman"/>
          <w:color w:val="auto"/>
          <w:highlight w:val="none"/>
        </w:rPr>
      </w:pPr>
      <w:r>
        <w:rPr>
          <w:rFonts w:ascii="Times New Roman" w:hAnsi="Times New Roman" w:cs="Times New Roman"/>
          <w:color w:val="auto"/>
          <w:highlight w:val="none"/>
        </w:rPr>
        <w:t>本项目环境风险评价等级划分见表</w:t>
      </w:r>
      <w:r>
        <w:rPr>
          <w:rFonts w:hint="eastAsia"/>
          <w:color w:val="auto"/>
          <w:highlight w:val="none"/>
          <w:lang w:val="en-US" w:eastAsia="zh-CN"/>
        </w:rPr>
        <w:t>5.2.7.2-2</w:t>
      </w:r>
      <w:r>
        <w:rPr>
          <w:rFonts w:ascii="Times New Roman" w:hAnsi="Times New Roman" w:cs="Times New Roman"/>
          <w:color w:val="auto"/>
          <w:highlight w:val="none"/>
        </w:rPr>
        <w:t>。</w:t>
      </w:r>
    </w:p>
    <w:p>
      <w:pPr>
        <w:bidi w:val="0"/>
        <w:rPr>
          <w:rFonts w:ascii="Times New Roman" w:hAnsi="Times New Roman" w:cs="Times New Roman"/>
          <w:color w:val="auto"/>
          <w:highlight w:val="none"/>
        </w:rPr>
      </w:pPr>
      <w:r>
        <w:rPr>
          <w:rFonts w:ascii="Times New Roman" w:hAnsi="Times New Roman" w:cs="Times New Roman"/>
          <w:color w:val="auto"/>
          <w:highlight w:val="none"/>
        </w:rPr>
        <w:t>表</w:t>
      </w:r>
      <w:r>
        <w:rPr>
          <w:rFonts w:hint="eastAsia"/>
          <w:color w:val="auto"/>
          <w:highlight w:val="none"/>
          <w:lang w:val="en-US" w:eastAsia="zh-CN"/>
        </w:rPr>
        <w:t>5.2.7.2-2</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环境风险评价工作等级划分表</w:t>
      </w:r>
    </w:p>
    <w:p>
      <w:pPr>
        <w:spacing w:line="63" w:lineRule="exact"/>
        <w:rPr>
          <w:rFonts w:ascii="Times New Roman" w:hAnsi="Times New Roman" w:eastAsia="宋体" w:cs="Times New Roman"/>
          <w:caps w:val="0"/>
          <w:smallCaps w:val="0"/>
          <w:color w:val="auto"/>
          <w:spacing w:val="0"/>
          <w:w w:val="99"/>
          <w:position w:val="0"/>
          <w:highlight w:val="none"/>
        </w:rPr>
      </w:pPr>
    </w:p>
    <w:tbl>
      <w:tblPr>
        <w:tblStyle w:val="28"/>
        <w:tblW w:w="8997"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86"/>
        <w:gridCol w:w="1490"/>
        <w:gridCol w:w="1787"/>
        <w:gridCol w:w="1787"/>
        <w:gridCol w:w="184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2086" w:type="dxa"/>
            <w:tcBorders>
              <w:top w:val="single" w:color="000000" w:sz="12" w:space="0"/>
              <w:left w:val="nil"/>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环境风险潜势</w:t>
            </w:r>
          </w:p>
        </w:tc>
        <w:tc>
          <w:tcPr>
            <w:tcW w:w="1490" w:type="dxa"/>
            <w:tcBorders>
              <w:top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Ⅳ、Ⅳ+</w:t>
            </w:r>
          </w:p>
        </w:tc>
        <w:tc>
          <w:tcPr>
            <w:tcW w:w="1787" w:type="dxa"/>
            <w:tcBorders>
              <w:top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Ⅲ</w:t>
            </w:r>
          </w:p>
        </w:tc>
        <w:tc>
          <w:tcPr>
            <w:tcW w:w="1787" w:type="dxa"/>
            <w:tcBorders>
              <w:top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Ⅱ</w:t>
            </w:r>
          </w:p>
        </w:tc>
        <w:tc>
          <w:tcPr>
            <w:tcW w:w="1847" w:type="dxa"/>
            <w:tcBorders>
              <w:top w:val="single" w:color="000000" w:sz="12" w:space="0"/>
              <w:right w:val="nil"/>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1" w:hRule="atLeast"/>
        </w:trPr>
        <w:tc>
          <w:tcPr>
            <w:tcW w:w="2086" w:type="dxa"/>
            <w:tcBorders>
              <w:left w:val="nil"/>
              <w:bottom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评价工作等级</w:t>
            </w:r>
          </w:p>
        </w:tc>
        <w:tc>
          <w:tcPr>
            <w:tcW w:w="1490" w:type="dxa"/>
            <w:tcBorders>
              <w:bottom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一</w:t>
            </w:r>
          </w:p>
        </w:tc>
        <w:tc>
          <w:tcPr>
            <w:tcW w:w="1787" w:type="dxa"/>
            <w:tcBorders>
              <w:bottom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二</w:t>
            </w:r>
          </w:p>
        </w:tc>
        <w:tc>
          <w:tcPr>
            <w:tcW w:w="1787" w:type="dxa"/>
            <w:tcBorders>
              <w:bottom w:val="single" w:color="000000" w:sz="12" w:space="0"/>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三</w:t>
            </w:r>
          </w:p>
        </w:tc>
        <w:tc>
          <w:tcPr>
            <w:tcW w:w="1847" w:type="dxa"/>
            <w:tcBorders>
              <w:bottom w:val="single" w:color="000000" w:sz="12" w:space="0"/>
              <w:right w:val="nil"/>
            </w:tcBorders>
            <w:vAlign w:val="top"/>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简单分析</w:t>
            </w:r>
          </w:p>
        </w:tc>
      </w:tr>
    </w:tbl>
    <w:p>
      <w:pPr>
        <w:bidi w:val="0"/>
        <w:rPr>
          <w:rFonts w:ascii="Times New Roman" w:hAnsi="Times New Roman" w:cs="Times New Roman"/>
          <w:color w:val="auto"/>
          <w:highlight w:val="none"/>
        </w:rPr>
      </w:pPr>
      <w:r>
        <w:rPr>
          <w:rFonts w:ascii="Times New Roman" w:hAnsi="Times New Roman" w:cs="Times New Roman"/>
          <w:color w:val="auto"/>
          <w:highlight w:val="none"/>
        </w:rPr>
        <w:t>根据表</w:t>
      </w:r>
      <w:r>
        <w:rPr>
          <w:rFonts w:hint="eastAsia"/>
          <w:color w:val="auto"/>
          <w:highlight w:val="none"/>
          <w:lang w:val="en-US" w:eastAsia="zh-CN"/>
        </w:rPr>
        <w:t>5.2.7.1-3</w:t>
      </w:r>
      <w:r>
        <w:rPr>
          <w:rFonts w:ascii="Times New Roman" w:hAnsi="Times New Roman" w:cs="Times New Roman"/>
          <w:color w:val="auto"/>
          <w:highlight w:val="none"/>
        </w:rPr>
        <w:t>可知，本项目环境风险评价工作等级为简单分析。本项目环境风险进行简单分析，根据《建设项目环境风险评价技术导则》HJ169-2018无需设置评价范围。</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5.2.7.3事故调查类比</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2021 年 10 月 2 日夜间，台湾彰化县大村乡美港路一间造纸工厂发生大火，造成 3 名工人受伤，1 人伤势较重。</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2021 年 6 月 7 日 21 时 26 分，江苏省扬州市八里镇永丰余造纸厂仓库大火，无人员死亡，仓库全部烧毁。</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2021 年 1 月 2 日夜间，浙江嘉兴平湖的平湖荣成环保科技有限公司突发大火，大量原纸被烈火燃烧，损失惨重。</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5.2.7.4最大可信事故</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最大可信事故是指在所有预测的概率不为零的事故中，对环境（或健康）危害最严重的重大事故。最大可信事故确定的目的是针对典型事故进行环境风险分析，并不意味着其它事故不具环境风险。在项目贮存运输过程中， 存在许多事故风险因素，风险评价不可能面面俱到，只能尽可能考虑对环境危害最大的事故风险。</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本改建项目最大可信事故为：仓库原料或成品被明火引燃，</w:t>
      </w:r>
      <w:r>
        <w:rPr>
          <w:rFonts w:hint="eastAsia" w:ascii="Times New Roman" w:cs="Times New Roman"/>
          <w:color w:val="auto"/>
          <w:szCs w:val="22"/>
          <w:highlight w:val="none"/>
          <w:lang w:val="en-US" w:eastAsia="zh-CN" w:bidi="zh-CN"/>
        </w:rPr>
        <w:t>润滑油</w:t>
      </w:r>
      <w:r>
        <w:rPr>
          <w:rFonts w:hint="eastAsia" w:ascii="Times New Roman" w:hAnsi="Times New Roman" w:eastAsia="宋体" w:cs="Times New Roman"/>
          <w:color w:val="auto"/>
          <w:szCs w:val="22"/>
          <w:highlight w:val="none"/>
          <w:lang w:val="zh-CN" w:eastAsia="zh-CN" w:bidi="zh-CN"/>
        </w:rPr>
        <w:t>被明火引燃</w:t>
      </w:r>
      <w:r>
        <w:rPr>
          <w:rFonts w:hint="eastAsia" w:ascii="Times New Roman" w:cs="Times New Roman"/>
          <w:color w:val="auto"/>
          <w:szCs w:val="22"/>
          <w:highlight w:val="none"/>
          <w:lang w:val="zh-CN" w:eastAsia="zh-CN" w:bidi="zh-CN"/>
        </w:rPr>
        <w:t>，</w:t>
      </w:r>
      <w:r>
        <w:rPr>
          <w:rFonts w:hint="eastAsia" w:ascii="Times New Roman" w:hAnsi="Times New Roman" w:eastAsia="宋体" w:cs="Times New Roman"/>
          <w:color w:val="auto"/>
          <w:szCs w:val="22"/>
          <w:highlight w:val="none"/>
          <w:lang w:val="zh-CN" w:eastAsia="zh-CN" w:bidi="zh-CN"/>
        </w:rPr>
        <w:t>发生火灾事故时产生次生环境影响。</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通过查找全国排污许可证管理信息平台，查找“C22 纸品及纸制品业”排污许可证统计数据，全国目前申报有 11770 家的同类行业。类比 2017 年 4 月统计网络公开统计数据，当月全国有 10 余起纸品及纸制品业的企业发生火灾，火灾每月发生概率约为 1‰，则本企业每年发生火灾概率约为 1.2%。</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5.2.7.5环境影响分析</w:t>
      </w:r>
    </w:p>
    <w:p>
      <w:pPr>
        <w:bidi w:val="0"/>
        <w:rPr>
          <w:color w:val="auto"/>
          <w:highlight w:val="none"/>
        </w:rPr>
      </w:pPr>
      <w:r>
        <w:rPr>
          <w:rFonts w:hint="eastAsia"/>
          <w:color w:val="auto"/>
          <w:highlight w:val="none"/>
          <w:lang w:eastAsia="zh-CN"/>
        </w:rPr>
        <w:t>（</w:t>
      </w:r>
      <w:r>
        <w:rPr>
          <w:color w:val="auto"/>
          <w:highlight w:val="none"/>
        </w:rPr>
        <w:t>一）火灾废气环境影响分析</w:t>
      </w:r>
    </w:p>
    <w:p>
      <w:pPr>
        <w:bidi w:val="0"/>
        <w:rPr>
          <w:color w:val="auto"/>
          <w:highlight w:val="none"/>
        </w:rPr>
      </w:pPr>
      <w:r>
        <w:rPr>
          <w:rFonts w:hint="eastAsia"/>
          <w:color w:val="auto"/>
          <w:highlight w:val="none"/>
          <w:lang w:eastAsia="zh-CN"/>
        </w:rPr>
        <w:t>（</w:t>
      </w:r>
      <w:r>
        <w:rPr>
          <w:color w:val="auto"/>
          <w:highlight w:val="none"/>
        </w:rPr>
        <w:t>1）计算模式</w:t>
      </w:r>
    </w:p>
    <w:p>
      <w:pPr>
        <w:bidi w:val="0"/>
        <w:rPr>
          <w:color w:val="auto"/>
          <w:highlight w:val="none"/>
        </w:rPr>
      </w:pPr>
      <w:r>
        <w:rPr>
          <w:color w:val="auto"/>
          <w:highlight w:val="none"/>
        </w:rPr>
        <w:t>经核实，本项目</w:t>
      </w:r>
      <w:r>
        <w:rPr>
          <w:rFonts w:hint="eastAsia"/>
          <w:color w:val="auto"/>
          <w:highlight w:val="none"/>
          <w:lang w:val="en-US" w:eastAsia="zh-CN"/>
        </w:rPr>
        <w:t>原料</w:t>
      </w:r>
      <w:r>
        <w:rPr>
          <w:color w:val="auto"/>
          <w:highlight w:val="none"/>
        </w:rPr>
        <w:t>最大存放量为200吨，成品库最大储存量约100吨，本次评价选取存量较大的原料仓库着火不完全燃烧对环境的影响，由于火灾燃烧为不充分燃烧，产生黑烟和CO、CO</w:t>
      </w:r>
      <w:r>
        <w:rPr>
          <w:color w:val="auto"/>
          <w:highlight w:val="none"/>
          <w:vertAlign w:val="subscript"/>
        </w:rPr>
        <w:t>2</w:t>
      </w:r>
      <w:r>
        <w:rPr>
          <w:color w:val="auto"/>
          <w:highlight w:val="none"/>
        </w:rPr>
        <w:t>，本评价选取有代表性的CO作为火灾伴生污染物进行风险评价。源强计算参照《环境风险评价实用技术、方法和案例》推荐的公式计算：</w:t>
      </w:r>
    </w:p>
    <w:p>
      <w:pPr>
        <w:bidi w:val="0"/>
        <w:rPr>
          <w:color w:val="auto"/>
          <w:highlight w:val="none"/>
        </w:rPr>
      </w:pPr>
      <w:r>
        <w:rPr>
          <w:color w:val="auto"/>
          <w:highlight w:val="none"/>
        </w:rPr>
        <w:t>燃料燃烧产生的CO量可按下式进行估算：</w:t>
      </w:r>
    </w:p>
    <w:p>
      <w:pPr>
        <w:bidi w:val="0"/>
        <w:rPr>
          <w:color w:val="auto"/>
          <w:highlight w:val="none"/>
        </w:rPr>
      </w:pPr>
      <w:r>
        <w:rPr>
          <w:color w:val="auto"/>
          <w:highlight w:val="none"/>
        </w:rPr>
        <w:t>G</w:t>
      </w:r>
      <w:r>
        <w:rPr>
          <w:color w:val="auto"/>
          <w:highlight w:val="none"/>
          <w:vertAlign w:val="subscript"/>
        </w:rPr>
        <w:t>CO</w:t>
      </w:r>
      <w:r>
        <w:rPr>
          <w:color w:val="auto"/>
          <w:highlight w:val="none"/>
        </w:rPr>
        <w:t>=2330</w:t>
      </w:r>
      <w:r>
        <w:rPr>
          <w:color w:val="auto"/>
          <w:highlight w:val="none"/>
          <w:vertAlign w:val="baseline"/>
        </w:rPr>
        <w:t>qC</w:t>
      </w:r>
    </w:p>
    <w:p>
      <w:pPr>
        <w:bidi w:val="0"/>
        <w:rPr>
          <w:color w:val="auto"/>
          <w:highlight w:val="none"/>
        </w:rPr>
      </w:pPr>
      <w:r>
        <w:rPr>
          <w:color w:val="auto"/>
          <w:highlight w:val="none"/>
        </w:rPr>
        <w:t>式中G</w:t>
      </w:r>
      <w:r>
        <w:rPr>
          <w:color w:val="auto"/>
          <w:highlight w:val="none"/>
          <w:vertAlign w:val="subscript"/>
        </w:rPr>
        <w:t>CO</w:t>
      </w:r>
      <w:r>
        <w:rPr>
          <w:color w:val="auto"/>
          <w:highlight w:val="none"/>
        </w:rPr>
        <w:t>——CO的产生量，g/kg;</w:t>
      </w:r>
    </w:p>
    <w:p>
      <w:pPr>
        <w:bidi w:val="0"/>
        <w:rPr>
          <w:color w:val="auto"/>
          <w:highlight w:val="none"/>
        </w:rPr>
      </w:pPr>
      <w:r>
        <w:rPr>
          <w:color w:val="auto"/>
          <w:highlight w:val="none"/>
        </w:rPr>
        <w:t>C——燃料中碳的质量百分比含量</w:t>
      </w:r>
      <w:r>
        <w:rPr>
          <w:rFonts w:hint="eastAsia"/>
          <w:color w:val="auto"/>
          <w:highlight w:val="none"/>
          <w:lang w:eastAsia="zh-CN"/>
        </w:rPr>
        <w:t>（</w:t>
      </w:r>
      <w:r>
        <w:rPr>
          <w:color w:val="auto"/>
          <w:highlight w:val="none"/>
        </w:rPr>
        <w:t>%</w:t>
      </w:r>
      <w:r>
        <w:rPr>
          <w:rFonts w:hint="eastAsia"/>
          <w:color w:val="auto"/>
          <w:highlight w:val="none"/>
          <w:lang w:eastAsia="zh-CN"/>
        </w:rPr>
        <w:t>）</w:t>
      </w:r>
      <w:r>
        <w:rPr>
          <w:color w:val="auto"/>
          <w:highlight w:val="none"/>
        </w:rPr>
        <w:t>，在此取60%；</w:t>
      </w:r>
    </w:p>
    <w:p>
      <w:pPr>
        <w:bidi w:val="0"/>
        <w:rPr>
          <w:color w:val="auto"/>
          <w:highlight w:val="none"/>
        </w:rPr>
      </w:pPr>
      <w:r>
        <w:rPr>
          <w:color w:val="auto"/>
          <w:highlight w:val="none"/>
        </w:rPr>
        <w:t>q——化学不完全燃烧值</w:t>
      </w:r>
      <w:r>
        <w:rPr>
          <w:rFonts w:hint="eastAsia"/>
          <w:color w:val="auto"/>
          <w:highlight w:val="none"/>
          <w:lang w:eastAsia="zh-CN"/>
        </w:rPr>
        <w:t>（</w:t>
      </w:r>
      <w:r>
        <w:rPr>
          <w:color w:val="auto"/>
          <w:highlight w:val="none"/>
        </w:rPr>
        <w:t>%</w:t>
      </w:r>
      <w:r>
        <w:rPr>
          <w:rFonts w:hint="eastAsia"/>
          <w:color w:val="auto"/>
          <w:highlight w:val="none"/>
          <w:lang w:eastAsia="zh-CN"/>
        </w:rPr>
        <w:t>），</w:t>
      </w:r>
      <w:r>
        <w:rPr>
          <w:color w:val="auto"/>
          <w:highlight w:val="none"/>
        </w:rPr>
        <w:t>在此取20%。</w:t>
      </w:r>
    </w:p>
    <w:p>
      <w:pPr>
        <w:bidi w:val="0"/>
        <w:rPr>
          <w:color w:val="auto"/>
          <w:highlight w:val="none"/>
        </w:rPr>
      </w:pPr>
      <w:r>
        <w:rPr>
          <w:rFonts w:hint="eastAsia"/>
          <w:color w:val="auto"/>
          <w:highlight w:val="none"/>
          <w:lang w:eastAsia="zh-CN"/>
        </w:rPr>
        <w:t>（</w:t>
      </w:r>
      <w:r>
        <w:rPr>
          <w:color w:val="auto"/>
          <w:highlight w:val="none"/>
        </w:rPr>
        <w:t>2）结果分析</w:t>
      </w:r>
    </w:p>
    <w:p>
      <w:pPr>
        <w:bidi w:val="0"/>
        <w:rPr>
          <w:color w:val="auto"/>
          <w:highlight w:val="none"/>
        </w:rPr>
      </w:pPr>
      <w:r>
        <w:rPr>
          <w:color w:val="auto"/>
          <w:highlight w:val="none"/>
        </w:rPr>
        <w:t>本次评价选取存量较大的原料仓库着火燃烧，燃烧时间为30min，经计算得出燃烧 速率的估算值，见表</w:t>
      </w:r>
      <w:r>
        <w:rPr>
          <w:rFonts w:hint="eastAsia"/>
          <w:color w:val="auto"/>
          <w:highlight w:val="none"/>
          <w:lang w:val="en-US" w:eastAsia="zh-CN"/>
        </w:rPr>
        <w:t>5.2.7.5-1</w:t>
      </w:r>
      <w:r>
        <w:rPr>
          <w:color w:val="auto"/>
          <w:highlight w:val="none"/>
        </w:rPr>
        <w:t>所示。</w:t>
      </w:r>
    </w:p>
    <w:p>
      <w:pPr>
        <w:bidi w:val="0"/>
        <w:rPr>
          <w:color w:val="auto"/>
          <w:highlight w:val="none"/>
        </w:rPr>
      </w:pPr>
      <w:r>
        <w:rPr>
          <w:color w:val="auto"/>
          <w:highlight w:val="none"/>
        </w:rPr>
        <w:t>表</w:t>
      </w:r>
      <w:r>
        <w:rPr>
          <w:rFonts w:hint="eastAsia"/>
          <w:color w:val="auto"/>
          <w:highlight w:val="none"/>
          <w:lang w:val="en-US" w:eastAsia="zh-CN"/>
        </w:rPr>
        <w:t>5.2.7.5-1</w:t>
      </w:r>
      <w:r>
        <w:rPr>
          <w:color w:val="auto"/>
          <w:highlight w:val="none"/>
        </w:rPr>
        <w:t xml:space="preserve">      </w:t>
      </w:r>
      <w:r>
        <w:rPr>
          <w:rFonts w:hint="eastAsia"/>
          <w:color w:val="auto"/>
          <w:highlight w:val="none"/>
          <w:lang w:val="en-US" w:eastAsia="zh-CN"/>
        </w:rPr>
        <w:t xml:space="preserve">      </w:t>
      </w:r>
      <w:r>
        <w:rPr>
          <w:color w:val="auto"/>
          <w:highlight w:val="none"/>
        </w:rPr>
        <w:t xml:space="preserve">  </w:t>
      </w:r>
      <w:r>
        <w:rPr>
          <w:rFonts w:hint="eastAsia"/>
          <w:color w:val="auto"/>
          <w:highlight w:val="none"/>
          <w:lang w:val="en-US" w:eastAsia="zh-CN"/>
        </w:rPr>
        <w:t xml:space="preserve"> </w:t>
      </w:r>
      <w:r>
        <w:rPr>
          <w:color w:val="auto"/>
          <w:highlight w:val="none"/>
        </w:rPr>
        <w:t>火灾次生CO源强表</w:t>
      </w:r>
    </w:p>
    <w:tbl>
      <w:tblPr>
        <w:tblStyle w:val="28"/>
        <w:tblW w:w="873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275"/>
        <w:gridCol w:w="620"/>
        <w:gridCol w:w="726"/>
        <w:gridCol w:w="829"/>
        <w:gridCol w:w="1276"/>
        <w:gridCol w:w="1276"/>
        <w:gridCol w:w="1271"/>
        <w:gridCol w:w="146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1275"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物质</w:t>
            </w:r>
          </w:p>
        </w:tc>
        <w:tc>
          <w:tcPr>
            <w:tcW w:w="620"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C</w:t>
            </w:r>
          </w:p>
        </w:tc>
        <w:tc>
          <w:tcPr>
            <w:tcW w:w="72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Q</w:t>
            </w:r>
          </w:p>
        </w:tc>
        <w:tc>
          <w:tcPr>
            <w:tcW w:w="829"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G</w:t>
            </w:r>
            <w:r>
              <w:rPr>
                <w:rFonts w:ascii="Times New Roman" w:hAnsi="Times New Roman" w:eastAsia="宋体" w:cs="Times New Roman"/>
                <w:color w:val="auto"/>
                <w:w w:val="100"/>
                <w:highlight w:val="none"/>
                <w:vertAlign w:val="subscript"/>
              </w:rPr>
              <w:t>CO</w:t>
            </w:r>
          </w:p>
        </w:tc>
        <w:tc>
          <w:tcPr>
            <w:tcW w:w="127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燃烧量</w:t>
            </w:r>
          </w:p>
        </w:tc>
        <w:tc>
          <w:tcPr>
            <w:tcW w:w="127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燃烧时间</w:t>
            </w:r>
          </w:p>
        </w:tc>
        <w:tc>
          <w:tcPr>
            <w:tcW w:w="1271"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排放速率</w:t>
            </w:r>
          </w:p>
        </w:tc>
        <w:tc>
          <w:tcPr>
            <w:tcW w:w="1464"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释放面积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4" w:hRule="atLeast"/>
          <w:jc w:val="center"/>
        </w:trPr>
        <w:tc>
          <w:tcPr>
            <w:tcW w:w="1275"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一氧化碳</w:t>
            </w:r>
          </w:p>
        </w:tc>
        <w:tc>
          <w:tcPr>
            <w:tcW w:w="620"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60%</w:t>
            </w:r>
          </w:p>
        </w:tc>
        <w:tc>
          <w:tcPr>
            <w:tcW w:w="72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20%</w:t>
            </w:r>
          </w:p>
        </w:tc>
        <w:tc>
          <w:tcPr>
            <w:tcW w:w="829"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279.6</w:t>
            </w:r>
          </w:p>
        </w:tc>
        <w:tc>
          <w:tcPr>
            <w:tcW w:w="127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200t</w:t>
            </w:r>
          </w:p>
        </w:tc>
        <w:tc>
          <w:tcPr>
            <w:tcW w:w="1276"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60min</w:t>
            </w:r>
          </w:p>
        </w:tc>
        <w:tc>
          <w:tcPr>
            <w:tcW w:w="1271"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15.5kg/s</w:t>
            </w:r>
          </w:p>
        </w:tc>
        <w:tc>
          <w:tcPr>
            <w:tcW w:w="1464" w:type="dxa"/>
            <w:tcBorders>
              <w:tl2br w:val="nil"/>
              <w:tr2bl w:val="nil"/>
            </w:tcBorders>
            <w:vAlign w:val="center"/>
          </w:tcPr>
          <w:p>
            <w:pPr>
              <w:pStyle w:val="31"/>
              <w:bidi w:val="0"/>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1000</w:t>
            </w:r>
          </w:p>
        </w:tc>
      </w:tr>
    </w:tbl>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由上表可知，CO产生量为279.6g/kg，排放速率为15.5kg/s，火灾事故中产生的烟气是物质在燃烧过程分解产生的气态、液态、固态物质与空气的混合物，烟气对人体的危害主要是燃烧产生的有毒有害气体CO所引起的窒息和对人体器官造成的毒害作用。</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（二）生产废水</w:t>
      </w:r>
      <w:r>
        <w:rPr>
          <w:rFonts w:hint="eastAsia" w:ascii="Times New Roman" w:cs="Times New Roman"/>
          <w:color w:val="auto"/>
          <w:szCs w:val="22"/>
          <w:highlight w:val="none"/>
          <w:lang w:val="en-US" w:eastAsia="zh-CN" w:bidi="zh-CN"/>
        </w:rPr>
        <w:t>泄漏</w:t>
      </w:r>
      <w:r>
        <w:rPr>
          <w:rFonts w:hint="eastAsia" w:ascii="Times New Roman" w:hAnsi="Times New Roman" w:eastAsia="宋体" w:cs="Times New Roman"/>
          <w:color w:val="auto"/>
          <w:szCs w:val="22"/>
          <w:highlight w:val="none"/>
          <w:lang w:val="zh-CN" w:eastAsia="zh-CN" w:bidi="zh-CN"/>
        </w:rPr>
        <w:t>事故环境影响分析</w:t>
      </w:r>
    </w:p>
    <w:p>
      <w:pPr>
        <w:bidi w:val="0"/>
        <w:rPr>
          <w:color w:val="auto"/>
          <w:sz w:val="24"/>
          <w:highlight w:val="none"/>
        </w:rPr>
      </w:pPr>
      <w:r>
        <w:rPr>
          <w:rFonts w:hint="eastAsia" w:ascii="Times New Roman" w:hAnsi="Times New Roman" w:eastAsia="宋体" w:cs="Times New Roman"/>
          <w:color w:val="auto"/>
          <w:szCs w:val="22"/>
          <w:highlight w:val="none"/>
          <w:lang w:val="zh-CN" w:eastAsia="zh-CN" w:bidi="zh-CN"/>
        </w:rPr>
        <w:t>本项目</w:t>
      </w:r>
      <w:r>
        <w:rPr>
          <w:rFonts w:hint="eastAsia" w:ascii="Times New Roman" w:cs="Times New Roman"/>
          <w:color w:val="auto"/>
          <w:szCs w:val="22"/>
          <w:highlight w:val="none"/>
          <w:lang w:val="en-US" w:eastAsia="zh-CN" w:bidi="zh-CN"/>
        </w:rPr>
        <w:t>生产装置纸浆及污水处理站污水</w:t>
      </w:r>
      <w:r>
        <w:rPr>
          <w:rFonts w:hint="eastAsia" w:ascii="Times New Roman" w:hAnsi="Times New Roman" w:eastAsia="宋体" w:cs="Times New Roman"/>
          <w:color w:val="auto"/>
          <w:szCs w:val="22"/>
          <w:highlight w:val="none"/>
          <w:lang w:val="zh-CN" w:eastAsia="zh-CN" w:bidi="zh-CN"/>
        </w:rPr>
        <w:t>如</w:t>
      </w:r>
      <w:r>
        <w:rPr>
          <w:rFonts w:hint="eastAsia" w:ascii="Times New Roman" w:cs="Times New Roman"/>
          <w:color w:val="auto"/>
          <w:szCs w:val="22"/>
          <w:highlight w:val="none"/>
          <w:lang w:val="en-US" w:eastAsia="zh-CN" w:bidi="zh-CN"/>
        </w:rPr>
        <w:t>发生泄漏将会导致土壤和地下水发生污染</w:t>
      </w:r>
      <w:r>
        <w:rPr>
          <w:rFonts w:hint="eastAsia" w:ascii="Times New Roman" w:hAnsi="Times New Roman" w:eastAsia="宋体" w:cs="Times New Roman"/>
          <w:color w:val="auto"/>
          <w:szCs w:val="22"/>
          <w:highlight w:val="none"/>
          <w:lang w:val="zh-CN" w:eastAsia="zh-CN" w:bidi="zh-CN"/>
        </w:rPr>
        <w:t>，</w:t>
      </w:r>
      <w:r>
        <w:rPr>
          <w:rFonts w:hint="eastAsia" w:ascii="Times New Roman" w:cs="Times New Roman"/>
          <w:color w:val="auto"/>
          <w:szCs w:val="22"/>
          <w:highlight w:val="none"/>
          <w:lang w:val="en-US" w:eastAsia="zh-CN" w:bidi="zh-CN"/>
        </w:rPr>
        <w:t>本项目生产车间及污水处理设施应设置防渗设施，泄漏后的液体应能够自流排至收集设施，泄漏收集设施经自流排至</w:t>
      </w:r>
      <w:r>
        <w:rPr>
          <w:color w:val="auto"/>
          <w:sz w:val="24"/>
          <w:highlight w:val="none"/>
        </w:rPr>
        <w:t>事故收集池</w:t>
      </w:r>
      <w:r>
        <w:rPr>
          <w:rFonts w:hint="eastAsia"/>
          <w:color w:val="auto"/>
          <w:sz w:val="24"/>
          <w:highlight w:val="none"/>
          <w:lang w:eastAsia="zh-CN"/>
        </w:rPr>
        <w:t>，</w:t>
      </w:r>
      <w:r>
        <w:rPr>
          <w:color w:val="auto"/>
          <w:sz w:val="24"/>
          <w:highlight w:val="none"/>
        </w:rPr>
        <w:t>阻止事故</w:t>
      </w:r>
      <w:r>
        <w:rPr>
          <w:rFonts w:hint="eastAsia"/>
          <w:color w:val="auto"/>
          <w:sz w:val="24"/>
          <w:highlight w:val="none"/>
          <w:lang w:val="en-US" w:eastAsia="zh-CN"/>
        </w:rPr>
        <w:t>废水</w:t>
      </w:r>
      <w:r>
        <w:rPr>
          <w:color w:val="auto"/>
          <w:sz w:val="24"/>
          <w:highlight w:val="none"/>
        </w:rPr>
        <w:t>进入厂区外部的雨水管网，将废水收集入事故池暂存。待事故结束后，利用厂内污水处理装置将其</w:t>
      </w:r>
      <w:r>
        <w:rPr>
          <w:rFonts w:hint="eastAsia"/>
          <w:color w:val="auto"/>
          <w:sz w:val="24"/>
          <w:highlight w:val="none"/>
          <w:lang w:val="en-US" w:eastAsia="zh-CN"/>
        </w:rPr>
        <w:t>处理并回用</w:t>
      </w:r>
      <w:r>
        <w:rPr>
          <w:color w:val="auto"/>
          <w:sz w:val="24"/>
          <w:highlight w:val="none"/>
        </w:rPr>
        <w:t>。</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w:t>
      </w:r>
      <w:r>
        <w:rPr>
          <w:rFonts w:hint="eastAsia" w:ascii="Times New Roman" w:hAnsi="Times New Roman" w:eastAsia="宋体" w:cs="Times New Roman"/>
          <w:color w:val="auto"/>
          <w:szCs w:val="22"/>
          <w:highlight w:val="none"/>
          <w:lang w:val="en-US" w:eastAsia="zh-CN" w:bidi="zh-CN"/>
        </w:rPr>
        <w:t>三</w:t>
      </w:r>
      <w:r>
        <w:rPr>
          <w:rFonts w:hint="eastAsia" w:ascii="Times New Roman" w:hAnsi="Times New Roman" w:eastAsia="宋体" w:cs="Times New Roman"/>
          <w:color w:val="auto"/>
          <w:szCs w:val="22"/>
          <w:highlight w:val="none"/>
          <w:lang w:val="zh-CN" w:eastAsia="zh-CN" w:bidi="zh-CN"/>
        </w:rPr>
        <w:t>）</w:t>
      </w:r>
      <w:r>
        <w:rPr>
          <w:rFonts w:hint="eastAsia" w:ascii="Times New Roman" w:hAnsi="Times New Roman" w:eastAsia="宋体" w:cs="Times New Roman"/>
          <w:color w:val="auto"/>
          <w:szCs w:val="22"/>
          <w:highlight w:val="none"/>
          <w:lang w:val="en-US" w:eastAsia="zh-CN" w:bidi="zh-CN"/>
        </w:rPr>
        <w:t>润滑油泄漏</w:t>
      </w:r>
      <w:r>
        <w:rPr>
          <w:rFonts w:hint="eastAsia" w:ascii="Times New Roman" w:hAnsi="Times New Roman" w:eastAsia="宋体" w:cs="Times New Roman"/>
          <w:color w:val="auto"/>
          <w:szCs w:val="22"/>
          <w:highlight w:val="none"/>
          <w:lang w:val="zh-CN" w:eastAsia="zh-CN" w:bidi="zh-CN"/>
        </w:rPr>
        <w:t>事故环境影响分析</w:t>
      </w:r>
    </w:p>
    <w:p>
      <w:pPr>
        <w:autoSpaceDE w:val="0"/>
        <w:autoSpaceDN w:val="0"/>
        <w:bidi w:val="0"/>
        <w:spacing w:before="0" w:after="0"/>
        <w:ind w:left="0" w:right="0" w:firstLine="883"/>
        <w:jc w:val="left"/>
        <w:rPr>
          <w:rFonts w:hint="eastAsia" w:ascii="Times New Roman" w:hAnsi="Times New Roman" w:eastAsia="宋体" w:cs="Times New Roman"/>
          <w:color w:val="auto"/>
          <w:szCs w:val="22"/>
          <w:highlight w:val="none"/>
          <w:lang w:val="zh-CN" w:eastAsia="zh-CN" w:bidi="zh-CN"/>
        </w:rPr>
      </w:pPr>
      <w:r>
        <w:rPr>
          <w:rFonts w:hint="eastAsia" w:ascii="Times New Roman" w:hAnsi="Times New Roman" w:eastAsia="宋体" w:cs="Times New Roman"/>
          <w:color w:val="auto"/>
          <w:szCs w:val="22"/>
          <w:highlight w:val="none"/>
          <w:lang w:val="zh-CN" w:eastAsia="zh-CN" w:bidi="zh-CN"/>
        </w:rPr>
        <w:t>本项目</w:t>
      </w:r>
      <w:r>
        <w:rPr>
          <w:rFonts w:hint="eastAsia" w:ascii="Times New Roman" w:hAnsi="Times New Roman" w:eastAsia="宋体" w:cs="Times New Roman"/>
          <w:color w:val="auto"/>
          <w:szCs w:val="22"/>
          <w:highlight w:val="none"/>
          <w:lang w:val="en-US" w:eastAsia="zh-CN" w:bidi="zh-CN"/>
        </w:rPr>
        <w:t>润滑油储存设施发生泄漏，可能会导致土壤及地下水发生污染，若泄漏的润滑油遇到明火，已发生火灾，产生伴生物CO。因此润滑油存储设施应保证密闭并定期检查，检修间地面应进行防腐防渗处理，周围设置收集围堰，设置泄漏收集应急物资。</w:t>
      </w:r>
    </w:p>
    <w:p>
      <w:pPr>
        <w:bidi w:val="0"/>
        <w:rPr>
          <w:color w:val="auto"/>
          <w:sz w:val="24"/>
          <w:highlight w:val="none"/>
        </w:rPr>
      </w:pPr>
      <w:r>
        <w:rPr>
          <w:color w:val="auto"/>
          <w:sz w:val="24"/>
          <w:highlight w:val="none"/>
        </w:rPr>
        <w:t>为</w:t>
      </w:r>
      <w:r>
        <w:rPr>
          <w:rFonts w:hint="eastAsia"/>
          <w:color w:val="auto"/>
          <w:sz w:val="24"/>
          <w:highlight w:val="none"/>
          <w:lang w:val="en-US" w:eastAsia="zh-CN"/>
        </w:rPr>
        <w:t>防止润滑油泄漏发生</w:t>
      </w:r>
      <w:r>
        <w:rPr>
          <w:rFonts w:hint="eastAsia" w:ascii="Times New Roman" w:hAnsi="Times New Roman" w:eastAsia="宋体" w:cs="Times New Roman"/>
          <w:color w:val="auto"/>
          <w:szCs w:val="22"/>
          <w:highlight w:val="none"/>
          <w:lang w:val="en-US" w:eastAsia="zh-CN" w:bidi="zh-CN"/>
        </w:rPr>
        <w:t>土壤及地下水污染及预防润滑油发生火灾事故，应制定巡检制度，编制润滑油操作规程及事故应急预案，并定期演练；禁止在检修间使用明火。发生事故后，应及时清理泄漏的润滑油；若发生火灾事故，</w:t>
      </w:r>
      <w:r>
        <w:rPr>
          <w:color w:val="auto"/>
          <w:sz w:val="24"/>
          <w:highlight w:val="none"/>
        </w:rPr>
        <w:t>事故消防水</w:t>
      </w:r>
      <w:r>
        <w:rPr>
          <w:rFonts w:hint="eastAsia"/>
          <w:color w:val="auto"/>
          <w:sz w:val="24"/>
          <w:highlight w:val="none"/>
          <w:lang w:val="en-US" w:eastAsia="zh-CN"/>
        </w:rPr>
        <w:t>应自流至</w:t>
      </w:r>
      <w:r>
        <w:rPr>
          <w:color w:val="auto"/>
          <w:sz w:val="24"/>
          <w:highlight w:val="none"/>
        </w:rPr>
        <w:t>企业已建事故收集池。待事故结束后，利用厂内污水处理装置将其</w:t>
      </w:r>
      <w:r>
        <w:rPr>
          <w:rFonts w:hint="eastAsia"/>
          <w:color w:val="auto"/>
          <w:sz w:val="24"/>
          <w:highlight w:val="none"/>
          <w:lang w:val="en-US" w:eastAsia="zh-CN"/>
        </w:rPr>
        <w:t>处理并回用</w:t>
      </w:r>
      <w:r>
        <w:rPr>
          <w:color w:val="auto"/>
          <w:sz w:val="24"/>
          <w:highlight w:val="none"/>
        </w:rPr>
        <w:t>。</w:t>
      </w:r>
    </w:p>
    <w:p>
      <w:pPr>
        <w:bidi w:val="0"/>
        <w:rPr>
          <w:color w:val="auto"/>
          <w:sz w:val="24"/>
          <w:highlight w:val="none"/>
        </w:rPr>
      </w:pPr>
      <w:r>
        <w:rPr>
          <w:color w:val="auto"/>
          <w:sz w:val="24"/>
          <w:highlight w:val="none"/>
        </w:rPr>
        <w:t>通过以上措施将有效的避免事故对外环境水体的影响，因而本次分析中不再考虑事故水对地表水体的影响，主要通过加强日常防范措施和事故应急措施，以避免该类事故的发生。</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5.2.7.6风险管理</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rFonts w:hint="eastAsia"/>
          <w:color w:val="auto"/>
          <w:sz w:val="24"/>
          <w:highlight w:val="none"/>
          <w:lang w:eastAsia="zh-CN"/>
        </w:rPr>
        <w:t>（</w:t>
      </w:r>
      <w:r>
        <w:rPr>
          <w:color w:val="auto"/>
          <w:sz w:val="24"/>
          <w:highlight w:val="none"/>
        </w:rPr>
        <w:t>一）风险防范措施</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rFonts w:hint="eastAsia"/>
          <w:color w:val="auto"/>
          <w:sz w:val="24"/>
          <w:highlight w:val="none"/>
          <w:lang w:eastAsia="zh-CN"/>
        </w:rPr>
        <w:t>（</w:t>
      </w:r>
      <w:r>
        <w:rPr>
          <w:color w:val="auto"/>
          <w:sz w:val="24"/>
          <w:highlight w:val="none"/>
        </w:rPr>
        <w:t>1）建设单位已采取的防范措施</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a.制定消防安全责任制，把消防安全落实到岗位，落实消防安全的一岗双责。</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b.在车间门口、车间内部、原料仓库及成品仓库配备相应数量的灭火设备，放在明 显易取位置。</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c.定期对仓库、生产车间，特别是电线线路等进行检查，防止因为设备故障、电线短路等引起火灾。</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d.加强消防安全检查。</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rFonts w:hint="eastAsia"/>
          <w:color w:val="auto"/>
          <w:sz w:val="24"/>
          <w:highlight w:val="none"/>
          <w:lang w:eastAsia="zh-CN"/>
        </w:rPr>
        <w:t>（</w:t>
      </w:r>
      <w:r>
        <w:rPr>
          <w:color w:val="auto"/>
          <w:sz w:val="24"/>
          <w:highlight w:val="none"/>
        </w:rPr>
        <w:t>2）本次改建项目要求企业加强风险防范的建议措施</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1）风险防范措施</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a.切实转变观念，落实源头削减废物产生的清洁生产措施，并制订有关制度保证其良好运行。</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rFonts w:hint="eastAsia"/>
          <w:color w:val="auto"/>
          <w:sz w:val="24"/>
          <w:highlight w:val="none"/>
          <w:lang w:val="en-US" w:eastAsia="zh-CN"/>
        </w:rPr>
        <w:t>b</w:t>
      </w:r>
      <w:r>
        <w:rPr>
          <w:color w:val="auto"/>
          <w:sz w:val="24"/>
          <w:highlight w:val="none"/>
        </w:rPr>
        <w:t>.制定定时巡检制度，对</w:t>
      </w:r>
      <w:r>
        <w:rPr>
          <w:rFonts w:hint="eastAsia"/>
          <w:color w:val="auto"/>
          <w:sz w:val="24"/>
          <w:highlight w:val="none"/>
          <w:lang w:val="en-US" w:eastAsia="zh-CN"/>
        </w:rPr>
        <w:t>原料、产品储存库房、检修间、</w:t>
      </w:r>
      <w:r>
        <w:rPr>
          <w:color w:val="auto"/>
          <w:sz w:val="24"/>
          <w:highlight w:val="none"/>
        </w:rPr>
        <w:t>废水处理设施</w:t>
      </w:r>
      <w:r>
        <w:rPr>
          <w:rFonts w:hint="eastAsia"/>
          <w:color w:val="auto"/>
          <w:sz w:val="24"/>
          <w:highlight w:val="none"/>
          <w:lang w:val="en-US" w:eastAsia="zh-CN"/>
        </w:rPr>
        <w:t>等重要场所进行巡检，发现</w:t>
      </w:r>
      <w:r>
        <w:rPr>
          <w:color w:val="auto"/>
          <w:sz w:val="24"/>
          <w:highlight w:val="none"/>
        </w:rPr>
        <w:t>非正常情况及时处理。</w:t>
      </w:r>
    </w:p>
    <w:p>
      <w:pPr>
        <w:keepNext w:val="0"/>
        <w:keepLines w:val="0"/>
        <w:pageBreakBefore w:val="0"/>
        <w:widowControl w:val="0"/>
        <w:kinsoku/>
        <w:wordWrap/>
        <w:overflowPunct/>
        <w:topLinePunct w:val="0"/>
        <w:autoSpaceDE/>
        <w:autoSpaceDN/>
        <w:bidi w:val="0"/>
        <w:adjustRightInd/>
        <w:snapToGrid/>
        <w:textAlignment w:val="auto"/>
        <w:rPr>
          <w:rFonts w:hint="default" w:ascii="宋体" w:hAnsi="Times New Roman" w:eastAsia="宋体" w:cs="Times New Roman"/>
          <w:color w:val="auto"/>
          <w:sz w:val="24"/>
          <w:highlight w:val="none"/>
          <w:lang w:val="en-US" w:eastAsia="zh-CN"/>
        </w:rPr>
      </w:pPr>
      <w:r>
        <w:rPr>
          <w:rFonts w:hint="eastAsia" w:ascii="宋体" w:hAnsi="Times New Roman" w:eastAsia="宋体" w:cs="Times New Roman"/>
          <w:color w:val="auto"/>
          <w:sz w:val="24"/>
          <w:highlight w:val="none"/>
          <w:lang w:val="en-US" w:eastAsia="zh-CN"/>
        </w:rPr>
        <w:t>c.编制应急预案并定期演练。</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2）加强事故监控</w:t>
      </w:r>
    </w:p>
    <w:p>
      <w:pPr>
        <w:keepNext w:val="0"/>
        <w:keepLines w:val="0"/>
        <w:pageBreakBefore w:val="0"/>
        <w:widowControl w:val="0"/>
        <w:kinsoku/>
        <w:wordWrap/>
        <w:overflowPunct/>
        <w:topLinePunct w:val="0"/>
        <w:autoSpaceDE/>
        <w:autoSpaceDN/>
        <w:bidi w:val="0"/>
        <w:adjustRightInd/>
        <w:snapToGrid/>
        <w:textAlignment w:val="auto"/>
        <w:rPr>
          <w:rFonts w:hint="eastAsia"/>
          <w:color w:val="auto"/>
          <w:sz w:val="24"/>
          <w:highlight w:val="none"/>
          <w:lang w:val="en-US" w:eastAsia="zh-CN"/>
        </w:rPr>
      </w:pPr>
      <w:r>
        <w:rPr>
          <w:rFonts w:hint="eastAsia"/>
          <w:color w:val="auto"/>
          <w:sz w:val="24"/>
          <w:highlight w:val="none"/>
          <w:lang w:val="en-US" w:eastAsia="zh-CN"/>
        </w:rPr>
        <w:t>在重点场所安置摄像头，设置在线监控设施，</w:t>
      </w:r>
      <w:r>
        <w:rPr>
          <w:color w:val="auto"/>
          <w:sz w:val="24"/>
          <w:highlight w:val="none"/>
        </w:rPr>
        <w:t>在岗操作人员必须</w:t>
      </w:r>
      <w:r>
        <w:rPr>
          <w:rFonts w:hint="eastAsia"/>
          <w:color w:val="auto"/>
          <w:sz w:val="24"/>
          <w:highlight w:val="none"/>
          <w:lang w:val="en-US" w:eastAsia="zh-CN"/>
        </w:rPr>
        <w:t>密切关注在线监控</w:t>
      </w:r>
      <w:r>
        <w:rPr>
          <w:color w:val="auto"/>
          <w:sz w:val="24"/>
          <w:highlight w:val="none"/>
        </w:rPr>
        <w:t>，定期巡检</w:t>
      </w:r>
      <w:r>
        <w:rPr>
          <w:rFonts w:hint="eastAsia"/>
          <w:color w:val="auto"/>
          <w:sz w:val="24"/>
          <w:highlight w:val="none"/>
          <w:lang w:eastAsia="zh-CN"/>
        </w:rPr>
        <w:t>，</w:t>
      </w:r>
      <w:r>
        <w:rPr>
          <w:rFonts w:hint="eastAsia"/>
          <w:color w:val="auto"/>
          <w:sz w:val="24"/>
          <w:highlight w:val="none"/>
          <w:lang w:val="en-US" w:eastAsia="zh-CN"/>
        </w:rPr>
        <w:t>发现问题及时报告处理。</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3）保证污水处理站运行效果</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污水处理站使用的机泵、阔门、电器及仪表等在运行中发生故障，将会导致废水处 理操作事故，应对这些设备采取多套备用设计，并加强巡回检查和维修保养，减少设备故障率。</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对于污水处理站主要工艺单元，必须装配流量、水质等在线监控仪器，并辅以定期人工取样测定。对于厂内外其它与废水处理有关的分析仪表讯号，必须与污水处理站数据作同步分析，以便操作人员参考并及时进行操作调整。</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4）必须将</w:t>
      </w:r>
      <w:r>
        <w:rPr>
          <w:rFonts w:hint="eastAsia"/>
          <w:color w:val="auto"/>
          <w:sz w:val="24"/>
          <w:highlight w:val="none"/>
          <w:lang w:eastAsia="zh-CN"/>
        </w:rPr>
        <w:t>“</w:t>
      </w:r>
      <w:r>
        <w:rPr>
          <w:color w:val="auto"/>
          <w:sz w:val="24"/>
          <w:highlight w:val="none"/>
        </w:rPr>
        <w:t>安全第一，预防为主</w:t>
      </w:r>
      <w:r>
        <w:rPr>
          <w:rFonts w:hint="eastAsia"/>
          <w:color w:val="auto"/>
          <w:sz w:val="24"/>
          <w:highlight w:val="none"/>
          <w:lang w:eastAsia="zh-CN"/>
        </w:rPr>
        <w:t>”</w:t>
      </w:r>
      <w:r>
        <w:rPr>
          <w:color w:val="auto"/>
          <w:sz w:val="24"/>
          <w:highlight w:val="none"/>
        </w:rPr>
        <w:t>作为公司经营的基本原则。</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5）必须进行广泛系统的培训，使所有操作人员熟悉自己的岗位，树立严谨规范的操作作风，并且在任何紧急状况下都能随时对工艺装置进行控制，并及时、独立、正确地实施相关应急措施。</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6）设立管理部，负责全厂的环保、安全管理，应由具有丰富经验的人才担当负责人，每个车间和主要装置设置专职或兼职安全员，兼职安全员原则上由工艺员担任。</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7）在日常生产工作中，环保岗位责任人加强对贮浆池和输送管道的检查及维护，防止纸浆跑、冒、滴、漏和大量泄漏。</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8）生产设备非正常状况下生产，导致生产废水事故排放，发现异常情况及时处理或向单位领导汇报。</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5.2.7.7事故应急池</w:t>
      </w:r>
    </w:p>
    <w:p>
      <w:pPr>
        <w:bidi w:val="0"/>
        <w:rPr>
          <w:color w:val="auto"/>
          <w:highlight w:val="none"/>
        </w:rPr>
      </w:pPr>
      <w:r>
        <w:rPr>
          <w:color w:val="auto"/>
          <w:highlight w:val="none"/>
        </w:rPr>
        <w:t>生产废水事故排放或泄漏时，可能会对水质造成影响。本项目建设</w:t>
      </w:r>
      <w:r>
        <w:rPr>
          <w:rFonts w:hint="eastAsia"/>
          <w:color w:val="auto"/>
          <w:highlight w:val="none"/>
          <w:lang w:val="en-US" w:eastAsia="zh-CN"/>
        </w:rPr>
        <w:t>2500m</w:t>
      </w:r>
      <w:r>
        <w:rPr>
          <w:rFonts w:hint="eastAsia"/>
          <w:color w:val="auto"/>
          <w:highlight w:val="none"/>
          <w:vertAlign w:val="superscript"/>
          <w:lang w:val="en-US" w:eastAsia="zh-CN"/>
        </w:rPr>
        <w:t>3</w:t>
      </w:r>
      <w:r>
        <w:rPr>
          <w:color w:val="auto"/>
          <w:highlight w:val="none"/>
        </w:rPr>
        <w:t>事故应急池，当发生废水事故排放或贮浆池泄漏时，可将事故废水或泄漏纸浆排入应急池，加强水环境事故风险防范力度。</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5.2.7.8应急预案</w:t>
      </w:r>
    </w:p>
    <w:p>
      <w:pPr>
        <w:bidi w:val="0"/>
        <w:rPr>
          <w:color w:val="auto"/>
          <w:sz w:val="24"/>
          <w:highlight w:val="none"/>
        </w:rPr>
      </w:pPr>
      <w:r>
        <w:rPr>
          <w:rFonts w:hint="eastAsia"/>
          <w:color w:val="auto"/>
          <w:sz w:val="24"/>
          <w:highlight w:val="none"/>
          <w:lang w:eastAsia="zh-CN"/>
        </w:rPr>
        <w:t>（</w:t>
      </w:r>
      <w:r>
        <w:rPr>
          <w:color w:val="auto"/>
          <w:sz w:val="24"/>
          <w:highlight w:val="none"/>
        </w:rPr>
        <w:t>一）应急预案的编制</w:t>
      </w:r>
    </w:p>
    <w:p>
      <w:pPr>
        <w:bidi w:val="0"/>
        <w:rPr>
          <w:color w:val="auto"/>
          <w:sz w:val="24"/>
          <w:highlight w:val="none"/>
        </w:rPr>
      </w:pPr>
      <w:r>
        <w:rPr>
          <w:color w:val="auto"/>
          <w:sz w:val="24"/>
          <w:highlight w:val="none"/>
        </w:rPr>
        <w:t>本项目建成后，需修订应急预案，并根据《企业事业单位突发环境事件应急预案评审工作指南</w:t>
      </w:r>
      <w:r>
        <w:rPr>
          <w:rFonts w:hint="eastAsia"/>
          <w:color w:val="auto"/>
          <w:sz w:val="24"/>
          <w:highlight w:val="none"/>
          <w:lang w:eastAsia="zh-CN"/>
        </w:rPr>
        <w:t>（</w:t>
      </w:r>
      <w:r>
        <w:rPr>
          <w:color w:val="auto"/>
          <w:sz w:val="24"/>
          <w:highlight w:val="none"/>
        </w:rPr>
        <w:t>试行）》</w:t>
      </w:r>
      <w:r>
        <w:rPr>
          <w:rFonts w:hint="eastAsia"/>
          <w:color w:val="auto"/>
          <w:sz w:val="24"/>
          <w:highlight w:val="none"/>
          <w:lang w:eastAsia="zh-CN"/>
        </w:rPr>
        <w:t>（</w:t>
      </w:r>
      <w:r>
        <w:rPr>
          <w:color w:val="auto"/>
          <w:sz w:val="24"/>
          <w:highlight w:val="none"/>
        </w:rPr>
        <w:t>环办应急[2018]8号）的要求组织专家评审。最后上报延平区环境保护局备案。一旦发生重、特大风险事故发生，应立即启动应急预案。</w:t>
      </w:r>
    </w:p>
    <w:p>
      <w:pPr>
        <w:bidi w:val="0"/>
        <w:rPr>
          <w:color w:val="auto"/>
          <w:sz w:val="24"/>
          <w:highlight w:val="none"/>
        </w:rPr>
      </w:pPr>
      <w:r>
        <w:rPr>
          <w:color w:val="auto"/>
          <w:sz w:val="24"/>
          <w:highlight w:val="none"/>
        </w:rPr>
        <w:t>预案的编制、评估、备案和实施等应按《企业事业单位突发环境事件应急预案备案 管理办法》</w:t>
      </w:r>
      <w:r>
        <w:rPr>
          <w:rFonts w:hint="eastAsia"/>
          <w:color w:val="auto"/>
          <w:sz w:val="24"/>
          <w:highlight w:val="none"/>
          <w:lang w:eastAsia="zh-CN"/>
        </w:rPr>
        <w:t>（</w:t>
      </w:r>
      <w:r>
        <w:rPr>
          <w:color w:val="auto"/>
          <w:sz w:val="24"/>
          <w:highlight w:val="none"/>
        </w:rPr>
        <w:t>环发</w:t>
      </w:r>
      <w:r>
        <w:rPr>
          <w:rFonts w:hint="eastAsia"/>
          <w:color w:val="auto"/>
          <w:sz w:val="24"/>
          <w:highlight w:val="none"/>
          <w:lang w:eastAsia="zh-CN"/>
        </w:rPr>
        <w:t>[</w:t>
      </w:r>
      <w:r>
        <w:rPr>
          <w:color w:val="auto"/>
          <w:sz w:val="24"/>
          <w:highlight w:val="none"/>
        </w:rPr>
        <w:t>2015</w:t>
      </w:r>
      <w:r>
        <w:rPr>
          <w:rFonts w:hint="eastAsia"/>
          <w:color w:val="auto"/>
          <w:sz w:val="24"/>
          <w:highlight w:val="none"/>
          <w:lang w:eastAsia="zh-CN"/>
        </w:rPr>
        <w:t>]</w:t>
      </w:r>
      <w:r>
        <w:rPr>
          <w:color w:val="auto"/>
          <w:sz w:val="24"/>
          <w:highlight w:val="none"/>
        </w:rPr>
        <w:t>4号）规定执行。具体要求如下：</w:t>
      </w:r>
    </w:p>
    <w:p>
      <w:pPr>
        <w:bidi w:val="0"/>
        <w:rPr>
          <w:color w:val="auto"/>
          <w:sz w:val="24"/>
          <w:highlight w:val="none"/>
        </w:rPr>
      </w:pPr>
      <w:r>
        <w:rPr>
          <w:rFonts w:hint="eastAsia"/>
          <w:color w:val="auto"/>
          <w:sz w:val="24"/>
          <w:highlight w:val="none"/>
          <w:lang w:eastAsia="zh-CN"/>
        </w:rPr>
        <w:t>（</w:t>
      </w:r>
      <w:r>
        <w:rPr>
          <w:color w:val="auto"/>
          <w:sz w:val="24"/>
          <w:highlight w:val="none"/>
        </w:rPr>
        <w:t>1）成立环境应急预案编制组，明确编制组组长和成员组成、工作任务、编制计划和经费预算。</w:t>
      </w:r>
    </w:p>
    <w:p>
      <w:pPr>
        <w:bidi w:val="0"/>
        <w:rPr>
          <w:color w:val="auto"/>
          <w:sz w:val="24"/>
          <w:highlight w:val="none"/>
        </w:rPr>
      </w:pPr>
      <w:r>
        <w:rPr>
          <w:rFonts w:hint="eastAsia"/>
          <w:color w:val="auto"/>
          <w:sz w:val="24"/>
          <w:highlight w:val="none"/>
          <w:lang w:eastAsia="zh-CN"/>
        </w:rPr>
        <w:t>（</w:t>
      </w:r>
      <w:r>
        <w:rPr>
          <w:color w:val="auto"/>
          <w:sz w:val="24"/>
          <w:highlight w:val="none"/>
        </w:rPr>
        <w:t>2）开展环境风险评估和应急资源调查。环境风险评估包括但不限于：分析各类事故衍化规律、自然灾害影响程度，识别环境危害因素，分析与周边可能受影响的居民、单位、区域环境的关系，构建突发环境事件及其后果情景，确定环境风险等级。应急资源调查包括但不限于：调查企业第一时间可调用的环境应急队伍、装备、物资、场所等应急资源状况和可请求援助或协议援助的应急资源状况。</w:t>
      </w:r>
    </w:p>
    <w:p>
      <w:pPr>
        <w:bidi w:val="0"/>
        <w:rPr>
          <w:color w:val="auto"/>
          <w:sz w:val="24"/>
          <w:highlight w:val="none"/>
        </w:rPr>
      </w:pPr>
      <w:r>
        <w:rPr>
          <w:rFonts w:hint="eastAsia"/>
          <w:color w:val="auto"/>
          <w:sz w:val="24"/>
          <w:highlight w:val="none"/>
          <w:lang w:eastAsia="zh-CN"/>
        </w:rPr>
        <w:t>（</w:t>
      </w:r>
      <w:r>
        <w:rPr>
          <w:color w:val="auto"/>
          <w:sz w:val="24"/>
          <w:highlight w:val="none"/>
        </w:rPr>
        <w:t>3）编制环境应急预案。合理选择类别，确定内容，重点说明可能的突发环境事件情景下需要采取的处置措施、向可能受影响的居民和单位通报的内容与方式、向环境保护主管部门和有关部门报告的内容与方式，以及与政府预案的衔接方式，形成环境应急预案。编制过程中，应征求员工和可能受影响的居民和单位代表的意见。</w:t>
      </w:r>
    </w:p>
    <w:p>
      <w:pPr>
        <w:bidi w:val="0"/>
        <w:rPr>
          <w:color w:val="auto"/>
          <w:sz w:val="24"/>
          <w:highlight w:val="none"/>
        </w:rPr>
      </w:pPr>
      <w:r>
        <w:rPr>
          <w:color w:val="auto"/>
          <w:sz w:val="24"/>
          <w:highlight w:val="none"/>
        </w:rPr>
        <w:t>企业环境应急预案体现自救互救、信息报告和先期处置特点，侧重明确现场组织指挥机制、应急队伍分工、信息报告、监测预警、不同情景下的应对流程和措施、应急资源保障等内容。经过评估确定为较大以上环境风险的企业，可以结合经营性质、规模、组织体系和环境风险状况、应急资源状况，按照环境应急综合预案、专项预案和现场处置预案的模式建立环境应急预案体系。环境应急综合预案体现战略性，环境应急专项预 案体现战术性，环境应急现场处置预案体现操作性。</w:t>
      </w:r>
    </w:p>
    <w:p>
      <w:pPr>
        <w:bidi w:val="0"/>
        <w:rPr>
          <w:color w:val="auto"/>
          <w:sz w:val="24"/>
          <w:highlight w:val="none"/>
        </w:rPr>
      </w:pPr>
      <w:r>
        <w:rPr>
          <w:rFonts w:hint="eastAsia"/>
          <w:color w:val="auto"/>
          <w:sz w:val="24"/>
          <w:highlight w:val="none"/>
          <w:lang w:eastAsia="zh-CN"/>
        </w:rPr>
        <w:t>（</w:t>
      </w:r>
      <w:r>
        <w:rPr>
          <w:color w:val="auto"/>
          <w:sz w:val="24"/>
          <w:highlight w:val="none"/>
        </w:rPr>
        <w:t>4）评审和演练环境应急预案。企业组织专家和可能受影响的居民、单位代表对环境应急预案进行评审，开展演练进行检验。</w:t>
      </w:r>
    </w:p>
    <w:p>
      <w:pPr>
        <w:bidi w:val="0"/>
        <w:rPr>
          <w:color w:val="auto"/>
          <w:sz w:val="24"/>
          <w:highlight w:val="none"/>
        </w:rPr>
      </w:pPr>
      <w:r>
        <w:rPr>
          <w:color w:val="auto"/>
          <w:sz w:val="24"/>
          <w:highlight w:val="none"/>
        </w:rPr>
        <w:t>评审专家一般应包括环境应急预案涉及的相关政府管理部门人员、相关行业协会代表、具有相关领域经验的人员等。</w:t>
      </w:r>
    </w:p>
    <w:p>
      <w:pPr>
        <w:bidi w:val="0"/>
        <w:rPr>
          <w:color w:val="auto"/>
          <w:sz w:val="24"/>
          <w:highlight w:val="none"/>
        </w:rPr>
      </w:pPr>
      <w:r>
        <w:rPr>
          <w:rFonts w:hint="eastAsia"/>
          <w:color w:val="auto"/>
          <w:sz w:val="24"/>
          <w:highlight w:val="none"/>
          <w:lang w:eastAsia="zh-CN"/>
        </w:rPr>
        <w:t>（</w:t>
      </w:r>
      <w:r>
        <w:rPr>
          <w:color w:val="auto"/>
          <w:sz w:val="24"/>
          <w:highlight w:val="none"/>
        </w:rPr>
        <w:t>5）签署发布环境应急预案。环境应急预案经企业有关会议审议，由企业主要负责人签署发布。</w:t>
      </w:r>
    </w:p>
    <w:p>
      <w:pPr>
        <w:bidi w:val="0"/>
        <w:rPr>
          <w:color w:val="auto"/>
          <w:highlight w:val="none"/>
        </w:rPr>
      </w:pPr>
      <w:r>
        <w:rPr>
          <w:rFonts w:hint="eastAsia"/>
          <w:color w:val="auto"/>
          <w:highlight w:val="none"/>
          <w:lang w:eastAsia="zh-CN"/>
        </w:rPr>
        <w:t>（</w:t>
      </w:r>
      <w:r>
        <w:rPr>
          <w:color w:val="auto"/>
          <w:highlight w:val="none"/>
        </w:rPr>
        <w:t>二）环境应急预案的备案</w:t>
      </w:r>
    </w:p>
    <w:p>
      <w:pPr>
        <w:bidi w:val="0"/>
        <w:rPr>
          <w:color w:val="auto"/>
          <w:highlight w:val="none"/>
        </w:rPr>
      </w:pPr>
      <w:r>
        <w:rPr>
          <w:color w:val="auto"/>
          <w:highlight w:val="none"/>
        </w:rPr>
        <w:t>企业环境应急预案应当在环境应急预案签署发布之日起20个工作日内，向企业所在地县级环境保护主管部门备案。企业环境应急预案首次备案，现场办理时应当提交下列文件：</w:t>
      </w:r>
    </w:p>
    <w:p>
      <w:pPr>
        <w:bidi w:val="0"/>
        <w:rPr>
          <w:color w:val="auto"/>
          <w:highlight w:val="none"/>
        </w:rPr>
      </w:pPr>
      <w:r>
        <w:rPr>
          <w:rFonts w:hint="eastAsia"/>
          <w:color w:val="auto"/>
          <w:highlight w:val="none"/>
          <w:lang w:eastAsia="zh-CN"/>
        </w:rPr>
        <w:t>（</w:t>
      </w:r>
      <w:r>
        <w:rPr>
          <w:color w:val="auto"/>
          <w:highlight w:val="none"/>
        </w:rPr>
        <w:t>1）突发环境事件应急预案备案表；</w:t>
      </w:r>
    </w:p>
    <w:p>
      <w:pPr>
        <w:bidi w:val="0"/>
        <w:rPr>
          <w:color w:val="auto"/>
          <w:highlight w:val="none"/>
        </w:rPr>
      </w:pPr>
      <w:r>
        <w:rPr>
          <w:rFonts w:hint="eastAsia"/>
          <w:color w:val="auto"/>
          <w:highlight w:val="none"/>
          <w:lang w:eastAsia="zh-CN"/>
        </w:rPr>
        <w:t>（</w:t>
      </w:r>
      <w:r>
        <w:rPr>
          <w:color w:val="auto"/>
          <w:highlight w:val="none"/>
        </w:rPr>
        <w:t>2）环境应急预案及编制说明的纸质文件和电子文件，环境应急预案包括：环境应急预案的签署发布文件、环境应急预案文本；编制说明包括：编制过程概述、重点内容说明、征求意见及采纳情况说明、评审情况说明；</w:t>
      </w:r>
    </w:p>
    <w:p>
      <w:pPr>
        <w:bidi w:val="0"/>
        <w:rPr>
          <w:color w:val="auto"/>
          <w:highlight w:val="none"/>
        </w:rPr>
      </w:pPr>
      <w:r>
        <w:rPr>
          <w:rFonts w:hint="eastAsia"/>
          <w:color w:val="auto"/>
          <w:highlight w:val="none"/>
          <w:lang w:eastAsia="zh-CN"/>
        </w:rPr>
        <w:t>（</w:t>
      </w:r>
      <w:r>
        <w:rPr>
          <w:color w:val="auto"/>
          <w:highlight w:val="none"/>
        </w:rPr>
        <w:t>3）环境风险评估报告的纸质文件和电子文件；</w:t>
      </w:r>
    </w:p>
    <w:p>
      <w:pPr>
        <w:bidi w:val="0"/>
        <w:rPr>
          <w:color w:val="auto"/>
          <w:highlight w:val="none"/>
        </w:rPr>
      </w:pPr>
      <w:r>
        <w:rPr>
          <w:rFonts w:hint="eastAsia"/>
          <w:color w:val="auto"/>
          <w:highlight w:val="none"/>
          <w:lang w:eastAsia="zh-CN"/>
        </w:rPr>
        <w:t>（</w:t>
      </w:r>
      <w:r>
        <w:rPr>
          <w:color w:val="auto"/>
          <w:highlight w:val="none"/>
        </w:rPr>
        <w:t>4）环境应急资源调查报告的纸质文件和电子文件；</w:t>
      </w:r>
    </w:p>
    <w:p>
      <w:pPr>
        <w:bidi w:val="0"/>
        <w:rPr>
          <w:color w:val="auto"/>
          <w:highlight w:val="none"/>
        </w:rPr>
      </w:pPr>
      <w:r>
        <w:rPr>
          <w:rFonts w:hint="eastAsia"/>
          <w:color w:val="auto"/>
          <w:highlight w:val="none"/>
          <w:lang w:eastAsia="zh-CN"/>
        </w:rPr>
        <w:t>（</w:t>
      </w:r>
      <w:r>
        <w:rPr>
          <w:color w:val="auto"/>
          <w:highlight w:val="none"/>
        </w:rPr>
        <w:t>5）环境应急预案评审意见的纸质文件和电子文件。提交备案文件也可以通过信函、电子数据交换等方式进行。通过电子数据交换方式提交的，可以只提交电子文件。</w:t>
      </w:r>
    </w:p>
    <w:p>
      <w:pPr>
        <w:bidi w:val="0"/>
        <w:rPr>
          <w:color w:val="auto"/>
          <w:highlight w:val="none"/>
        </w:rPr>
      </w:pPr>
      <w:r>
        <w:rPr>
          <w:rFonts w:hint="eastAsia"/>
          <w:color w:val="auto"/>
          <w:highlight w:val="none"/>
          <w:lang w:eastAsia="zh-CN"/>
        </w:rPr>
        <w:t>（</w:t>
      </w:r>
      <w:r>
        <w:rPr>
          <w:color w:val="auto"/>
          <w:highlight w:val="none"/>
        </w:rPr>
        <w:t>三）环境应急预案的实施与监督管理</w:t>
      </w:r>
    </w:p>
    <w:p>
      <w:pPr>
        <w:bidi w:val="0"/>
        <w:rPr>
          <w:color w:val="auto"/>
          <w:highlight w:val="none"/>
        </w:rPr>
      </w:pPr>
      <w:r>
        <w:rPr>
          <w:rFonts w:hint="eastAsia"/>
          <w:color w:val="auto"/>
          <w:highlight w:val="none"/>
          <w:lang w:eastAsia="zh-CN"/>
        </w:rPr>
        <w:t>（</w:t>
      </w:r>
      <w:r>
        <w:rPr>
          <w:color w:val="auto"/>
          <w:highlight w:val="none"/>
        </w:rPr>
        <w:t>1）建设单位应当采取有效形式，开展环境应急预案的宣传教育，普及突发环境事件预防、避险、自救、互救和应急处置知识，提高从业人员环境安全意识和应急处置技能。</w:t>
      </w:r>
    </w:p>
    <w:p>
      <w:pPr>
        <w:bidi w:val="0"/>
        <w:rPr>
          <w:color w:val="auto"/>
          <w:highlight w:val="none"/>
        </w:rPr>
      </w:pPr>
      <w:r>
        <w:rPr>
          <w:rFonts w:hint="eastAsia"/>
          <w:color w:val="auto"/>
          <w:highlight w:val="none"/>
          <w:lang w:eastAsia="zh-CN"/>
        </w:rPr>
        <w:t>（</w:t>
      </w:r>
      <w:r>
        <w:rPr>
          <w:color w:val="auto"/>
          <w:highlight w:val="none"/>
        </w:rPr>
        <w:t>2）建设单位应当每年至少组织一次预案培训工作，通过各种形式，使有关人员了解环境应急预案的内容，熟悉应急职责、应急程序和岗位应急处置预案。</w:t>
      </w:r>
    </w:p>
    <w:p>
      <w:pPr>
        <w:bidi w:val="0"/>
        <w:rPr>
          <w:color w:val="auto"/>
          <w:highlight w:val="none"/>
        </w:rPr>
      </w:pPr>
      <w:r>
        <w:rPr>
          <w:rFonts w:hint="eastAsia"/>
          <w:color w:val="auto"/>
          <w:highlight w:val="none"/>
          <w:lang w:eastAsia="zh-CN"/>
        </w:rPr>
        <w:t>（</w:t>
      </w:r>
      <w:r>
        <w:rPr>
          <w:color w:val="auto"/>
          <w:highlight w:val="none"/>
        </w:rPr>
        <w:t>3）建设单位应当定期进行应急演练，并积极配合和参与有关部门开展的应急演练。环境应急预案演练结束后，应当对环境应急预案演练结果进行评估，撰写演练评估报告，分析存在问题，对环境应急预案提出修改意见。</w:t>
      </w:r>
    </w:p>
    <w:p>
      <w:pPr>
        <w:bidi w:val="0"/>
        <w:rPr>
          <w:color w:val="auto"/>
          <w:highlight w:val="none"/>
        </w:rPr>
      </w:pPr>
      <w:r>
        <w:rPr>
          <w:rFonts w:hint="eastAsia"/>
          <w:color w:val="auto"/>
          <w:highlight w:val="none"/>
          <w:lang w:eastAsia="zh-CN"/>
        </w:rPr>
        <w:t>（</w:t>
      </w:r>
      <w:r>
        <w:rPr>
          <w:color w:val="auto"/>
          <w:highlight w:val="none"/>
        </w:rPr>
        <w:t>4）企业环境应急预案有重大修订的，应当在发布之日起20个工作日内向原受理部门变更备案。变更备案按照本办法第十五条要求办理。</w:t>
      </w:r>
    </w:p>
    <w:p>
      <w:pPr>
        <w:bidi w:val="0"/>
        <w:rPr>
          <w:color w:val="auto"/>
          <w:highlight w:val="none"/>
        </w:rPr>
      </w:pPr>
      <w:r>
        <w:rPr>
          <w:color w:val="auto"/>
          <w:highlight w:val="none"/>
        </w:rPr>
        <w:t>环境应急预案个别内容进行调整、需要告知环境保护主管部门的，应当在发布之日起20个工作日内以文件形式告知原受理部门。</w:t>
      </w:r>
    </w:p>
    <w:p>
      <w:pPr>
        <w:bidi w:val="0"/>
        <w:rPr>
          <w:color w:val="auto"/>
          <w:highlight w:val="none"/>
        </w:rPr>
      </w:pPr>
      <w:r>
        <w:rPr>
          <w:color w:val="auto"/>
          <w:highlight w:val="none"/>
        </w:rPr>
        <w:t>企业结合环境应急预案实施情况，至少每三年对环境应急预案进行一次回顾性评估。有下列情形之一的，及时修订：</w:t>
      </w:r>
    </w:p>
    <w:p>
      <w:pPr>
        <w:bidi w:val="0"/>
        <w:rPr>
          <w:color w:val="auto"/>
          <w:highlight w:val="none"/>
        </w:rPr>
      </w:pPr>
      <w:r>
        <w:rPr>
          <w:rFonts w:hint="eastAsia"/>
          <w:color w:val="auto"/>
          <w:highlight w:val="none"/>
          <w:lang w:eastAsia="zh-CN"/>
        </w:rPr>
        <w:t>（</w:t>
      </w:r>
      <w:r>
        <w:rPr>
          <w:color w:val="auto"/>
          <w:highlight w:val="none"/>
        </w:rPr>
        <w:t>一）面临的环境风险发生重大变化，需要重新进行环境风险评估的；</w:t>
      </w:r>
    </w:p>
    <w:p>
      <w:pPr>
        <w:bidi w:val="0"/>
        <w:rPr>
          <w:color w:val="auto"/>
          <w:highlight w:val="none"/>
        </w:rPr>
      </w:pPr>
      <w:r>
        <w:rPr>
          <w:rFonts w:hint="eastAsia"/>
          <w:color w:val="auto"/>
          <w:highlight w:val="none"/>
          <w:lang w:eastAsia="zh-CN"/>
        </w:rPr>
        <w:t>（</w:t>
      </w:r>
      <w:r>
        <w:rPr>
          <w:color w:val="auto"/>
          <w:highlight w:val="none"/>
        </w:rPr>
        <w:t>二）应急管理组织指挥体系与职责发生重大变化的；</w:t>
      </w:r>
    </w:p>
    <w:p>
      <w:pPr>
        <w:bidi w:val="0"/>
        <w:rPr>
          <w:color w:val="auto"/>
          <w:highlight w:val="none"/>
        </w:rPr>
      </w:pPr>
      <w:r>
        <w:rPr>
          <w:rFonts w:hint="eastAsia"/>
          <w:color w:val="auto"/>
          <w:highlight w:val="none"/>
          <w:lang w:eastAsia="zh-CN"/>
        </w:rPr>
        <w:t>（</w:t>
      </w:r>
      <w:r>
        <w:rPr>
          <w:color w:val="auto"/>
          <w:highlight w:val="none"/>
        </w:rPr>
        <w:t>三）环境应急监测预警及报告机制、应对流程和措施、应急保障措施发生重大变化的；</w:t>
      </w:r>
    </w:p>
    <w:p>
      <w:pPr>
        <w:bidi w:val="0"/>
        <w:rPr>
          <w:color w:val="auto"/>
          <w:highlight w:val="none"/>
        </w:rPr>
      </w:pPr>
      <w:r>
        <w:rPr>
          <w:rFonts w:hint="eastAsia"/>
          <w:color w:val="auto"/>
          <w:highlight w:val="none"/>
          <w:lang w:eastAsia="zh-CN"/>
        </w:rPr>
        <w:t>（</w:t>
      </w:r>
      <w:r>
        <w:rPr>
          <w:color w:val="auto"/>
          <w:highlight w:val="none"/>
        </w:rPr>
        <w:t>四）重要应急资源发生重大变化的；</w:t>
      </w:r>
    </w:p>
    <w:p>
      <w:pPr>
        <w:bidi w:val="0"/>
        <w:rPr>
          <w:color w:val="auto"/>
          <w:highlight w:val="none"/>
        </w:rPr>
      </w:pPr>
      <w:r>
        <w:rPr>
          <w:rFonts w:hint="eastAsia"/>
          <w:color w:val="auto"/>
          <w:highlight w:val="none"/>
          <w:lang w:eastAsia="zh-CN"/>
        </w:rPr>
        <w:t>（</w:t>
      </w:r>
      <w:r>
        <w:rPr>
          <w:color w:val="auto"/>
          <w:highlight w:val="none"/>
        </w:rPr>
        <w:t>五）在突发事件实际应对和应急演练中发现问题，需要对环境应急预案作出重大调整的；</w:t>
      </w:r>
    </w:p>
    <w:p>
      <w:pPr>
        <w:bidi w:val="0"/>
        <w:rPr>
          <w:color w:val="auto"/>
          <w:highlight w:val="none"/>
        </w:rPr>
      </w:pPr>
      <w:r>
        <w:rPr>
          <w:rFonts w:hint="eastAsia"/>
          <w:color w:val="auto"/>
          <w:highlight w:val="none"/>
          <w:lang w:eastAsia="zh-CN"/>
        </w:rPr>
        <w:t>（</w:t>
      </w:r>
      <w:r>
        <w:rPr>
          <w:color w:val="auto"/>
          <w:highlight w:val="none"/>
        </w:rPr>
        <w:t>六）其他需要修订的情况。</w:t>
      </w:r>
    </w:p>
    <w:p>
      <w:pPr>
        <w:bidi w:val="0"/>
        <w:rPr>
          <w:color w:val="auto"/>
          <w:highlight w:val="none"/>
        </w:rPr>
      </w:pPr>
      <w:r>
        <w:rPr>
          <w:color w:val="auto"/>
          <w:highlight w:val="none"/>
        </w:rPr>
        <w:t>对环境应急预案进行重大修订的，修订工作参照环境应急预案制定步骤进行。对环境应急预案个别内容进行调整的，修订工作可适当简化。</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cs="Times New Roman"/>
          <w:b/>
          <w:bCs/>
          <w:color w:val="auto"/>
          <w:highlight w:val="none"/>
        </w:rPr>
      </w:pPr>
      <w:r>
        <w:rPr>
          <w:rFonts w:ascii="Times New Roman" w:hAnsi="Times New Roman" w:cs="Times New Roman"/>
          <w:b/>
          <w:bCs/>
          <w:color w:val="auto"/>
          <w:highlight w:val="none"/>
        </w:rPr>
        <w:t>5.2.7.9小结</w:t>
      </w:r>
    </w:p>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1</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项目不存在重大危险源，本项目的最大可信事故风险源</w:t>
      </w:r>
      <w:r>
        <w:rPr>
          <w:rFonts w:hint="eastAsia" w:ascii="Times New Roman" w:hAnsi="Times New Roman" w:cs="Times New Roman"/>
          <w:color w:val="auto"/>
          <w:highlight w:val="none"/>
          <w:lang w:eastAsia="zh-CN"/>
        </w:rPr>
        <w:t>润滑油、</w:t>
      </w:r>
      <w:r>
        <w:rPr>
          <w:rFonts w:hint="eastAsia" w:ascii="Times New Roman" w:cs="Times New Roman"/>
          <w:color w:val="auto"/>
          <w:highlight w:val="none"/>
          <w:lang w:val="en-US" w:eastAsia="zh-CN"/>
        </w:rPr>
        <w:t>木浆及白纸边（进口）</w:t>
      </w:r>
      <w:r>
        <w:rPr>
          <w:rFonts w:ascii="Times New Roman" w:hAnsi="Times New Roman" w:cs="Times New Roman"/>
          <w:color w:val="auto"/>
          <w:highlight w:val="none"/>
        </w:rPr>
        <w:t>和产品为</w:t>
      </w:r>
      <w:r>
        <w:rPr>
          <w:rFonts w:hint="eastAsia" w:ascii="Times New Roman" w:hAnsi="Times New Roman" w:cs="Times New Roman"/>
          <w:color w:val="auto"/>
          <w:highlight w:val="none"/>
          <w:lang w:eastAsia="zh-CN"/>
        </w:rPr>
        <w:t>薄页纸、特种纸及纸板</w:t>
      </w:r>
      <w:r>
        <w:rPr>
          <w:rFonts w:ascii="Times New Roman" w:hAnsi="Times New Roman" w:cs="Times New Roman"/>
          <w:color w:val="auto"/>
          <w:highlight w:val="none"/>
        </w:rPr>
        <w:t>燃烧产生的次生物质CO气体对环境和人体健康都将造成危害。</w:t>
      </w:r>
    </w:p>
    <w:p>
      <w:pPr>
        <w:bidi w:val="0"/>
        <w:rPr>
          <w:rFonts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2</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本工程具有潜在的事故风险，尽管最大可信灾害事故概率较小，但要从建设、生产、贮运等各方面积极采取防护措施，这是确保安全的根本措施；为了防范事故和减少危害，需要制定灾害事故的应急预案。当出现事故时，要采取紧急的应急措施，以控制事故和减少对环境造成的危害。</w:t>
      </w:r>
    </w:p>
    <w:p>
      <w:pPr>
        <w:bidi w:val="0"/>
        <w:rPr>
          <w:rFonts w:ascii="Times New Roman" w:hAnsi="Times New Roman" w:cs="Times New Roman"/>
          <w:color w:val="auto"/>
          <w:highlight w:val="none"/>
        </w:rPr>
      </w:pPr>
      <w:r>
        <w:rPr>
          <w:rFonts w:ascii="Times New Roman" w:hAnsi="Times New Roman" w:cs="Times New Roman"/>
          <w:color w:val="auto"/>
          <w:highlight w:val="none"/>
        </w:rPr>
        <w:t>表5.2</w:t>
      </w:r>
      <w:r>
        <w:rPr>
          <w:rFonts w:hint="eastAsia" w:ascii="Times New Roman" w:hAnsi="Times New Roman" w:cs="Times New Roman"/>
          <w:color w:val="auto"/>
          <w:highlight w:val="none"/>
          <w:lang w:val="en-US" w:eastAsia="zh-CN"/>
        </w:rPr>
        <w:t>.7.9-1</w:t>
      </w:r>
      <w:r>
        <w:rPr>
          <w:rFonts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 xml:space="preserve">           </w:t>
      </w:r>
      <w:r>
        <w:rPr>
          <w:rFonts w:ascii="Times New Roman" w:hAnsi="Times New Roman" w:cs="Times New Roman"/>
          <w:color w:val="auto"/>
          <w:highlight w:val="none"/>
        </w:rPr>
        <w:t xml:space="preserve">   环境风险评价自查表</w:t>
      </w:r>
    </w:p>
    <w:tbl>
      <w:tblPr>
        <w:tblStyle w:val="23"/>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1212"/>
        <w:gridCol w:w="1076"/>
        <w:gridCol w:w="431"/>
        <w:gridCol w:w="634"/>
        <w:gridCol w:w="855"/>
        <w:gridCol w:w="1315"/>
        <w:gridCol w:w="667"/>
        <w:gridCol w:w="808"/>
        <w:gridCol w:w="15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工作内容</w:t>
            </w: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风险调查</w:t>
            </w:r>
          </w:p>
        </w:tc>
        <w:tc>
          <w:tcPr>
            <w:tcW w:w="121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危险物质</w:t>
            </w:r>
          </w:p>
        </w:tc>
        <w:tc>
          <w:tcPr>
            <w:tcW w:w="10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名称</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aps w:val="0"/>
                <w:smallCaps w:val="0"/>
                <w:color w:val="auto"/>
                <w:spacing w:val="0"/>
                <w:w w:val="100"/>
                <w:kern w:val="21"/>
                <w:position w:val="0"/>
                <w:sz w:val="21"/>
                <w:szCs w:val="21"/>
                <w:highlight w:val="none"/>
                <w:lang w:eastAsia="zh-CN"/>
              </w:rPr>
            </w:pPr>
            <w:r>
              <w:rPr>
                <w:rFonts w:hint="eastAsia" w:ascii="Times New Roman" w:hAnsi="Times New Roman" w:eastAsia="宋体" w:cs="Times New Roman"/>
                <w:caps w:val="0"/>
                <w:smallCaps w:val="0"/>
                <w:color w:val="auto"/>
                <w:spacing w:val="0"/>
                <w:w w:val="100"/>
                <w:kern w:val="21"/>
                <w:position w:val="0"/>
                <w:sz w:val="21"/>
                <w:szCs w:val="21"/>
                <w:highlight w:val="none"/>
                <w:lang w:eastAsia="zh-CN"/>
              </w:rPr>
              <w:t>废润滑油</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存在总量</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eastAsia" w:ascii="Times New Roman" w:hAnsi="Times New Roman" w:eastAsia="宋体" w:cs="Times New Roman"/>
                <w:caps w:val="0"/>
                <w:smallCaps w:val="0"/>
                <w:color w:val="auto"/>
                <w:spacing w:val="0"/>
                <w:w w:val="100"/>
                <w:kern w:val="21"/>
                <w:position w:val="0"/>
                <w:sz w:val="21"/>
                <w:szCs w:val="21"/>
                <w:highlight w:val="none"/>
                <w:lang w:val="en-US" w:eastAsia="zh-CN"/>
              </w:rPr>
              <w:t>0.1</w:t>
            </w:r>
            <w:r>
              <w:rPr>
                <w:rFonts w:hint="default" w:ascii="Times New Roman" w:hAnsi="Times New Roman" w:eastAsia="宋体" w:cs="Times New Roman"/>
                <w:caps w:val="0"/>
                <w:smallCaps w:val="0"/>
                <w:color w:val="auto"/>
                <w:spacing w:val="0"/>
                <w:w w:val="100"/>
                <w:kern w:val="21"/>
                <w:position w:val="0"/>
                <w:sz w:val="21"/>
                <w:szCs w:val="21"/>
                <w:highlight w:val="none"/>
              </w:rPr>
              <w:t>t</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敏感性</w:t>
            </w:r>
          </w:p>
        </w:tc>
        <w:tc>
          <w:tcPr>
            <w:tcW w:w="10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w:t>
            </w:r>
          </w:p>
        </w:tc>
        <w:tc>
          <w:tcPr>
            <w:tcW w:w="3235"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500m范围内人口数</w:t>
            </w:r>
            <w:r>
              <w:rPr>
                <w:rFonts w:hint="eastAsia" w:ascii="Times New Roman" w:hAnsi="Times New Roman" w:eastAsia="宋体" w:cs="Times New Roman"/>
                <w:caps w:val="0"/>
                <w:smallCaps w:val="0"/>
                <w:color w:val="auto"/>
                <w:spacing w:val="0"/>
                <w:w w:val="100"/>
                <w:kern w:val="21"/>
                <w:position w:val="0"/>
                <w:sz w:val="21"/>
                <w:szCs w:val="21"/>
                <w:highlight w:val="none"/>
                <w:u w:val="single"/>
                <w:lang w:val="en-US" w:eastAsia="zh-CN"/>
              </w:rPr>
              <w:t>200</w:t>
            </w:r>
            <w:r>
              <w:rPr>
                <w:rFonts w:hint="default" w:ascii="Times New Roman" w:hAnsi="Times New Roman" w:eastAsia="宋体" w:cs="Times New Roman"/>
                <w:caps w:val="0"/>
                <w:smallCaps w:val="0"/>
                <w:color w:val="auto"/>
                <w:spacing w:val="0"/>
                <w:w w:val="100"/>
                <w:kern w:val="21"/>
                <w:position w:val="0"/>
                <w:sz w:val="21"/>
                <w:szCs w:val="21"/>
                <w:highlight w:val="none"/>
              </w:rPr>
              <w:t>人</w:t>
            </w:r>
          </w:p>
        </w:tc>
        <w:tc>
          <w:tcPr>
            <w:tcW w:w="298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5km范围内人口数</w:t>
            </w:r>
            <w:r>
              <w:rPr>
                <w:rFonts w:hint="eastAsia" w:ascii="Times New Roman" w:hAnsi="Times New Roman" w:eastAsia="宋体" w:cs="Times New Roman"/>
                <w:caps w:val="0"/>
                <w:smallCaps w:val="0"/>
                <w:color w:val="auto"/>
                <w:spacing w:val="0"/>
                <w:w w:val="100"/>
                <w:kern w:val="21"/>
                <w:position w:val="0"/>
                <w:sz w:val="21"/>
                <w:szCs w:val="21"/>
                <w:highlight w:val="none"/>
                <w:u w:val="single"/>
                <w:lang w:val="en-US" w:eastAsia="zh-CN"/>
              </w:rPr>
              <w:t>2万</w:t>
            </w:r>
            <w:r>
              <w:rPr>
                <w:rFonts w:hint="default" w:ascii="Times New Roman" w:hAnsi="Times New Roman" w:eastAsia="宋体" w:cs="Times New Roman"/>
                <w:caps w:val="0"/>
                <w:smallCaps w:val="0"/>
                <w:color w:val="auto"/>
                <w:spacing w:val="0"/>
                <w:w w:val="100"/>
                <w:kern w:val="21"/>
                <w:position w:val="0"/>
                <w:sz w:val="21"/>
                <w:szCs w:val="21"/>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4710"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每公里管段周边200m范围内人口数（最大）</w:t>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地表水</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地表水功能敏感性</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F1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F2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F3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环境敏感目标分级</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S1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S2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S3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地下水</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地下水功能敏感性</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G1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G2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G3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包气带防污性能</w:t>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D1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D2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D3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物质及工艺系数危险性</w:t>
            </w:r>
          </w:p>
        </w:tc>
        <w:tc>
          <w:tcPr>
            <w:tcW w:w="10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Q值</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Q＜1</w:t>
            </w:r>
            <w:r>
              <w:rPr>
                <w:rFonts w:hint="default" w:ascii="Times New Roman" w:hAnsi="Times New Roman" w:eastAsia="宋体" w:cs="Times New Roman"/>
                <w:caps w:val="0"/>
                <w:smallCaps w:val="0"/>
                <w:color w:val="auto"/>
                <w:spacing w:val="0"/>
                <w:w w:val="100"/>
                <w:position w:val="0"/>
                <w:sz w:val="21"/>
                <w:szCs w:val="18"/>
                <w:highlight w:val="none"/>
              </w:rPr>
              <w:sym w:font="Wingdings" w:char="00FE"/>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1≤Q＜10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10≤Q＜100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Q＞100</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M值</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M1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M2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M3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M4</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0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P值</w:t>
            </w:r>
          </w:p>
        </w:tc>
        <w:tc>
          <w:tcPr>
            <w:tcW w:w="192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P1</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P2</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P3</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P4</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环境风险潜势</w:t>
            </w:r>
          </w:p>
        </w:tc>
        <w:tc>
          <w:tcPr>
            <w:tcW w:w="150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Ⅳ+</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8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Ⅳ</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Ⅲ</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Ⅱ</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Ⅰ</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评价等级</w:t>
            </w:r>
          </w:p>
        </w:tc>
        <w:tc>
          <w:tcPr>
            <w:tcW w:w="2996"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一级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31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二级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三级</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简单分析</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风险识别</w:t>
            </w:r>
          </w:p>
        </w:tc>
        <w:tc>
          <w:tcPr>
            <w:tcW w:w="12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物质</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危险性</w:t>
            </w:r>
          </w:p>
        </w:tc>
        <w:tc>
          <w:tcPr>
            <w:tcW w:w="4311"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有毒有害</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98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易燃易爆</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环境</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风险类型</w:t>
            </w:r>
          </w:p>
        </w:tc>
        <w:tc>
          <w:tcPr>
            <w:tcW w:w="4311"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泄漏</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980"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火灾、爆炸引发伴生/次生污染物排放</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影响途径</w:t>
            </w:r>
          </w:p>
        </w:tc>
        <w:tc>
          <w:tcPr>
            <w:tcW w:w="214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837"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地表水</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2313"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地下水</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事故情形分析</w:t>
            </w:r>
          </w:p>
        </w:tc>
        <w:tc>
          <w:tcPr>
            <w:tcW w:w="214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源强设定方法</w:t>
            </w:r>
          </w:p>
        </w:tc>
        <w:tc>
          <w:tcPr>
            <w:tcW w:w="217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计算法</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FE"/>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经验估算法</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其他估算法</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风险预测与评价</w:t>
            </w:r>
          </w:p>
        </w:tc>
        <w:tc>
          <w:tcPr>
            <w:tcW w:w="121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w:t>
            </w:r>
          </w:p>
        </w:tc>
        <w:tc>
          <w:tcPr>
            <w:tcW w:w="214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预测模型</w:t>
            </w:r>
          </w:p>
        </w:tc>
        <w:tc>
          <w:tcPr>
            <w:tcW w:w="217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SLAB</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47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AFTOX</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c>
          <w:tcPr>
            <w:tcW w:w="15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其他</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2141" w:type="dxa"/>
            <w:gridSpan w:val="3"/>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预测结果</w:t>
            </w:r>
          </w:p>
        </w:tc>
        <w:tc>
          <w:tcPr>
            <w:tcW w:w="515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u w:val="single"/>
              </w:rPr>
            </w:pPr>
            <w:r>
              <w:rPr>
                <w:rFonts w:hint="default" w:ascii="Times New Roman" w:hAnsi="Times New Roman" w:eastAsia="宋体" w:cs="Times New Roman"/>
                <w:caps w:val="0"/>
                <w:smallCaps w:val="0"/>
                <w:color w:val="auto"/>
                <w:spacing w:val="0"/>
                <w:w w:val="100"/>
                <w:kern w:val="21"/>
                <w:position w:val="0"/>
                <w:sz w:val="21"/>
                <w:szCs w:val="21"/>
                <w:highlight w:val="none"/>
              </w:rPr>
              <w:t>大气毒性终点浓度-1最大影响范围</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2141" w:type="dxa"/>
            <w:gridSpan w:val="3"/>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5150" w:type="dxa"/>
            <w:gridSpan w:val="5"/>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大气毒性终点浓度-2最大影响范围</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地表水</w:t>
            </w: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最近敏感目标</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，到达时间</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地下水</w:t>
            </w: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u w:val="single"/>
              </w:rPr>
            </w:pPr>
            <w:r>
              <w:rPr>
                <w:rFonts w:hint="default" w:ascii="Times New Roman" w:hAnsi="Times New Roman" w:eastAsia="宋体" w:cs="Times New Roman"/>
                <w:caps w:val="0"/>
                <w:smallCaps w:val="0"/>
                <w:color w:val="auto"/>
                <w:spacing w:val="0"/>
                <w:w w:val="100"/>
                <w:kern w:val="21"/>
                <w:position w:val="0"/>
                <w:sz w:val="21"/>
                <w:szCs w:val="21"/>
                <w:highlight w:val="none"/>
              </w:rPr>
              <w:t>下游厂区边界到达时间</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121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最近环境敏感目标</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，到达时间</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重点风险</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防范措施</w:t>
            </w: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1、建设单位在运营期间应落实环境风险控制措施，若</w:t>
            </w:r>
            <w:r>
              <w:rPr>
                <w:rFonts w:hint="eastAsia" w:ascii="Times New Roman" w:cs="Times New Roman"/>
                <w:color w:val="auto"/>
                <w:spacing w:val="0"/>
                <w:w w:val="100"/>
                <w:position w:val="0"/>
                <w:sz w:val="21"/>
                <w:szCs w:val="21"/>
                <w:highlight w:val="none"/>
                <w:lang w:val="en-US" w:eastAsia="zh-CN"/>
              </w:rPr>
              <w:t>发生泄漏事故</w:t>
            </w:r>
            <w:r>
              <w:rPr>
                <w:rFonts w:ascii="Times New Roman" w:hAnsi="Times New Roman" w:eastAsia="宋体" w:cs="Times New Roman"/>
                <w:color w:val="auto"/>
                <w:spacing w:val="0"/>
                <w:w w:val="100"/>
                <w:position w:val="0"/>
                <w:sz w:val="21"/>
                <w:szCs w:val="21"/>
                <w:highlight w:val="none"/>
              </w:rPr>
              <w:t>，建设单位应及时启动应急预案，将环境风险事故的影响降到最低程度。</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2、本项目</w:t>
            </w:r>
            <w:r>
              <w:rPr>
                <w:rFonts w:hint="eastAsia" w:ascii="Times New Roman" w:hAnsi="Times New Roman" w:eastAsia="宋体" w:cs="Times New Roman"/>
                <w:color w:val="auto"/>
                <w:spacing w:val="0"/>
                <w:w w:val="100"/>
                <w:position w:val="0"/>
                <w:sz w:val="21"/>
                <w:szCs w:val="21"/>
                <w:highlight w:val="none"/>
                <w:lang w:eastAsia="zh-CN"/>
              </w:rPr>
              <w:t>生产车间北侧应急事故池容积</w:t>
            </w:r>
            <w:r>
              <w:rPr>
                <w:rFonts w:hint="eastAsia" w:cs="Times New Roman"/>
                <w:color w:val="auto"/>
                <w:spacing w:val="0"/>
                <w:w w:val="100"/>
                <w:position w:val="0"/>
                <w:sz w:val="21"/>
                <w:szCs w:val="21"/>
                <w:highlight w:val="none"/>
                <w:lang w:val="en-US" w:eastAsia="zh-CN"/>
              </w:rPr>
              <w:t>2500</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2</w:t>
            </w:r>
            <w:r>
              <w:rPr>
                <w:rFonts w:ascii="Times New Roman" w:hAnsi="Times New Roman" w:eastAsia="宋体" w:cs="Times New Roman"/>
                <w:color w:val="auto"/>
                <w:spacing w:val="0"/>
                <w:w w:val="100"/>
                <w:position w:val="0"/>
                <w:sz w:val="21"/>
                <w:szCs w:val="21"/>
                <w:highlight w:val="none"/>
              </w:rPr>
              <w:t>。厂区设置满足容积要求的应急事故池事故废水收集处理后达标排放。</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1"/>
                <w:highlight w:val="none"/>
              </w:rPr>
            </w:pPr>
            <w:r>
              <w:rPr>
                <w:rFonts w:ascii="Times New Roman" w:hAnsi="Times New Roman" w:eastAsia="宋体" w:cs="Times New Roman"/>
                <w:color w:val="auto"/>
                <w:spacing w:val="0"/>
                <w:w w:val="100"/>
                <w:position w:val="0"/>
                <w:sz w:val="21"/>
                <w:szCs w:val="21"/>
                <w:highlight w:val="none"/>
              </w:rPr>
              <w:t>3、废气治理设施必须由专人负责进行定期的检查、维修、保养，在日常的生产过程中，一旦发生环保设施故障情况，必须立即停止生产，待环保设施可正常运行之后才能恢复生产；</w:t>
            </w:r>
          </w:p>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both"/>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ascii="Times New Roman" w:hAnsi="Times New Roman" w:eastAsia="宋体" w:cs="Times New Roman"/>
                <w:color w:val="auto"/>
                <w:spacing w:val="0"/>
                <w:w w:val="100"/>
                <w:position w:val="0"/>
                <w:sz w:val="21"/>
                <w:szCs w:val="21"/>
                <w:highlight w:val="none"/>
              </w:rPr>
              <w:t>4、编制突发环境事故应急预案并备案，储备环境应急物资，定期进行环境应急演练。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评价结论与建议</w:t>
            </w:r>
          </w:p>
        </w:tc>
        <w:tc>
          <w:tcPr>
            <w:tcW w:w="7291" w:type="dxa"/>
            <w:gridSpan w:val="8"/>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ascii="Times New Roman" w:hAnsi="Times New Roman" w:eastAsia="宋体" w:cs="Times New Roman"/>
                <w:color w:val="auto"/>
                <w:spacing w:val="0"/>
                <w:w w:val="100"/>
                <w:position w:val="0"/>
                <w:sz w:val="21"/>
                <w:szCs w:val="21"/>
                <w:highlight w:val="none"/>
              </w:rPr>
              <w:t>本项目所发生的环境风险可以控制在较低的水平，且风险发生概率及危害将低 于国内同类企业水平，本项目的事故风险属于可接受水平。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gridSpan w:val="10"/>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aps w:val="0"/>
                <w:smallCaps w:val="0"/>
                <w:color w:val="auto"/>
                <w:spacing w:val="0"/>
                <w:w w:val="100"/>
                <w:kern w:val="21"/>
                <w:position w:val="0"/>
                <w:sz w:val="21"/>
                <w:szCs w:val="21"/>
                <w:highlight w:val="none"/>
              </w:rPr>
            </w:pPr>
            <w:r>
              <w:rPr>
                <w:rFonts w:hint="default" w:ascii="Times New Roman" w:hAnsi="Times New Roman" w:eastAsia="宋体" w:cs="Times New Roman"/>
                <w:caps w:val="0"/>
                <w:smallCaps w:val="0"/>
                <w:color w:val="auto"/>
                <w:spacing w:val="0"/>
                <w:w w:val="100"/>
                <w:kern w:val="21"/>
                <w:position w:val="0"/>
                <w:sz w:val="21"/>
                <w:szCs w:val="21"/>
                <w:highlight w:val="none"/>
              </w:rPr>
              <w:t>注：“</w:t>
            </w:r>
            <w:r>
              <w:rPr>
                <w:rFonts w:hint="default" w:ascii="Times New Roman" w:hAnsi="Times New Roman" w:eastAsia="宋体" w:cs="Times New Roman"/>
                <w:caps w:val="0"/>
                <w:smallCaps w:val="0"/>
                <w:color w:val="auto"/>
                <w:spacing w:val="0"/>
                <w:w w:val="100"/>
                <w:kern w:val="21"/>
                <w:position w:val="0"/>
                <w:sz w:val="21"/>
                <w:szCs w:val="21"/>
                <w:highlight w:val="none"/>
              </w:rPr>
              <w:sym w:font="Wingdings" w:char="00A8"/>
            </w:r>
            <w:r>
              <w:rPr>
                <w:rFonts w:hint="default" w:ascii="Times New Roman" w:hAnsi="Times New Roman" w:eastAsia="宋体" w:cs="Times New Roman"/>
                <w:caps w:val="0"/>
                <w:smallCaps w:val="0"/>
                <w:color w:val="auto"/>
                <w:spacing w:val="0"/>
                <w:w w:val="100"/>
                <w:kern w:val="21"/>
                <w:position w:val="0"/>
                <w:sz w:val="21"/>
                <w:szCs w:val="21"/>
                <w:highlight w:val="none"/>
              </w:rPr>
              <w:t>”为勾选项，“</w:t>
            </w:r>
            <w:r>
              <w:rPr>
                <w:rFonts w:hint="default" w:ascii="Times New Roman" w:hAnsi="Times New Roman" w:eastAsia="宋体" w:cs="Times New Roman"/>
                <w:caps w:val="0"/>
                <w:smallCaps w:val="0"/>
                <w:color w:val="auto"/>
                <w:spacing w:val="0"/>
                <w:w w:val="100"/>
                <w:kern w:val="21"/>
                <w:position w:val="0"/>
                <w:sz w:val="21"/>
                <w:szCs w:val="21"/>
                <w:highlight w:val="none"/>
                <w:u w:val="single"/>
              </w:rPr>
              <w:t xml:space="preserve">    </w:t>
            </w:r>
            <w:r>
              <w:rPr>
                <w:rFonts w:hint="default" w:ascii="Times New Roman" w:hAnsi="Times New Roman" w:eastAsia="宋体" w:cs="Times New Roman"/>
                <w:caps w:val="0"/>
                <w:smallCaps w:val="0"/>
                <w:color w:val="auto"/>
                <w:spacing w:val="0"/>
                <w:w w:val="100"/>
                <w:kern w:val="21"/>
                <w:position w:val="0"/>
                <w:sz w:val="21"/>
                <w:szCs w:val="21"/>
                <w:highlight w:val="none"/>
              </w:rPr>
              <w:t>”为内容填写项</w:t>
            </w:r>
          </w:p>
        </w:tc>
      </w:tr>
    </w:tbl>
    <w:p>
      <w:pPr>
        <w:pStyle w:val="27"/>
        <w:rPr>
          <w:rFonts w:hint="default"/>
          <w:color w:val="auto"/>
          <w:highlight w:val="none"/>
          <w:lang w:val="en-US" w:eastAsia="zh-CN"/>
        </w:rPr>
        <w:sectPr>
          <w:footerReference r:id="rId17"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5"/>
        <w:keepNext/>
        <w:keepLines/>
        <w:autoSpaceDE/>
        <w:autoSpaceDN/>
        <w:bidi w:val="0"/>
        <w:spacing w:before="0" w:after="0" w:line="500" w:lineRule="exact"/>
        <w:ind w:left="0" w:right="0" w:firstLine="0" w:firstLineChars="0"/>
        <w:jc w:val="both"/>
        <w:rPr>
          <w:rFonts w:hint="eastAsia" w:ascii="Times New Roman" w:hAnsi="Times New Roman" w:eastAsia="宋体" w:cs="Times New Roman"/>
          <w:color w:val="auto"/>
          <w:kern w:val="44"/>
          <w:highlight w:val="none"/>
          <w:lang w:val="en-US" w:eastAsia="zh-CN" w:bidi="ar-SA"/>
        </w:rPr>
      </w:pPr>
      <w:bookmarkStart w:id="1083" w:name="_Toc17788"/>
      <w:bookmarkStart w:id="1084" w:name="_Toc14286"/>
      <w:r>
        <w:rPr>
          <w:rFonts w:hint="eastAsia" w:ascii="Times New Roman" w:hAnsi="Times New Roman" w:eastAsia="宋体" w:cs="Times New Roman"/>
          <w:color w:val="auto"/>
          <w:kern w:val="44"/>
          <w:highlight w:val="none"/>
          <w:lang w:val="en-US" w:eastAsia="zh-CN" w:bidi="ar-SA"/>
        </w:rPr>
        <w:t>6环境保护措施及其可行性论证</w:t>
      </w:r>
      <w:bookmarkEnd w:id="1083"/>
      <w:bookmarkEnd w:id="1084"/>
    </w:p>
    <w:p>
      <w:pPr>
        <w:pStyle w:val="6"/>
        <w:keepNext/>
        <w:keepLines/>
        <w:autoSpaceDE/>
        <w:autoSpaceDN/>
        <w:bidi w:val="0"/>
        <w:spacing w:before="0" w:after="0" w:line="500" w:lineRule="exact"/>
        <w:ind w:left="0" w:right="0" w:firstLine="0" w:firstLineChars="0"/>
        <w:jc w:val="both"/>
        <w:outlineLvl w:val="1"/>
        <w:rPr>
          <w:rFonts w:hint="eastAsia" w:ascii="Times New Roman" w:hAnsi="Times New Roman" w:eastAsia="宋体" w:cs="Times New Roman"/>
          <w:bCs w:val="0"/>
          <w:color w:val="auto"/>
          <w:kern w:val="2"/>
          <w:szCs w:val="20"/>
          <w:highlight w:val="none"/>
          <w:lang w:val="en-US" w:bidi="ar-SA"/>
        </w:rPr>
      </w:pPr>
      <w:bookmarkStart w:id="1085" w:name="_Toc27523"/>
      <w:bookmarkStart w:id="1086" w:name="_Toc460677715"/>
      <w:bookmarkStart w:id="1087" w:name="_Toc32484"/>
      <w:bookmarkStart w:id="1088" w:name="_Toc21439"/>
      <w:bookmarkStart w:id="1089" w:name="_Toc7822"/>
      <w:bookmarkStart w:id="1090" w:name="_Toc9250"/>
      <w:bookmarkStart w:id="1091" w:name="_Toc7339"/>
      <w:bookmarkStart w:id="1092" w:name="_Toc12280"/>
      <w:bookmarkStart w:id="1093" w:name="_Toc20140"/>
      <w:bookmarkStart w:id="1094" w:name="_Toc27992"/>
      <w:bookmarkStart w:id="1095" w:name="_Toc29032"/>
      <w:r>
        <w:rPr>
          <w:rFonts w:hint="eastAsia" w:ascii="Times New Roman" w:hAnsi="Times New Roman" w:eastAsia="宋体" w:cs="Times New Roman"/>
          <w:bCs w:val="0"/>
          <w:color w:val="auto"/>
          <w:kern w:val="2"/>
          <w:szCs w:val="20"/>
          <w:highlight w:val="none"/>
          <w:lang w:val="en-US" w:bidi="ar-SA"/>
        </w:rPr>
        <w:t>6.1施工期污染防治措施</w:t>
      </w:r>
      <w:bookmarkEnd w:id="1085"/>
      <w:bookmarkEnd w:id="1086"/>
      <w:bookmarkEnd w:id="1087"/>
      <w:bookmarkEnd w:id="1088"/>
    </w:p>
    <w:p>
      <w:pPr>
        <w:bidi w:val="0"/>
        <w:rPr>
          <w:color w:val="auto"/>
          <w:highlight w:val="none"/>
        </w:rPr>
      </w:pPr>
      <w:r>
        <w:rPr>
          <w:color w:val="auto"/>
          <w:highlight w:val="none"/>
        </w:rPr>
        <w:t>本项目选址为本项目位于</w:t>
      </w:r>
      <w:r>
        <w:rPr>
          <w:rFonts w:hint="eastAsia"/>
          <w:color w:val="auto"/>
          <w:highlight w:val="none"/>
          <w:lang w:eastAsia="zh-CN"/>
        </w:rPr>
        <w:t>黑龙江大同经济开发区纸业园区</w:t>
      </w:r>
      <w:r>
        <w:rPr>
          <w:color w:val="auto"/>
          <w:highlight w:val="none"/>
        </w:rPr>
        <w:t>，</w:t>
      </w:r>
      <w:r>
        <w:rPr>
          <w:rFonts w:hint="eastAsia"/>
          <w:color w:val="auto"/>
          <w:highlight w:val="none"/>
          <w:lang w:eastAsia="zh-CN"/>
        </w:rPr>
        <w:t>利用本项目原有厂址进行改建</w:t>
      </w:r>
      <w:r>
        <w:rPr>
          <w:color w:val="auto"/>
          <w:highlight w:val="none"/>
        </w:rPr>
        <w:t>，本次施工内容主要为</w:t>
      </w:r>
      <w:r>
        <w:rPr>
          <w:rFonts w:hint="eastAsia"/>
          <w:color w:val="auto"/>
          <w:highlight w:val="none"/>
          <w:lang w:eastAsia="zh-CN"/>
        </w:rPr>
        <w:t>设备的运输及</w:t>
      </w:r>
      <w:r>
        <w:rPr>
          <w:color w:val="auto"/>
          <w:highlight w:val="none"/>
        </w:rPr>
        <w:t>设备安装，土建内容</w:t>
      </w:r>
      <w:r>
        <w:rPr>
          <w:rFonts w:hint="eastAsia"/>
          <w:color w:val="auto"/>
          <w:highlight w:val="none"/>
          <w:lang w:eastAsia="zh-CN"/>
        </w:rPr>
        <w:t>较少</w:t>
      </w:r>
      <w:r>
        <w:rPr>
          <w:color w:val="auto"/>
          <w:highlight w:val="none"/>
        </w:rPr>
        <w:t>。在建设施工过程中将会对周围环境产生一定的污染影响，其主要的环境问题是施工作业过程中产生的施工噪声、施工废水、建筑垃圾及施工扬尘等的治理问题。</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1"/>
        <w:rPr>
          <w:rFonts w:ascii="Times New Roman" w:hAnsi="Times New Roman" w:eastAsia="宋体" w:cs="Times New Roman"/>
          <w:bCs w:val="0"/>
          <w:color w:val="auto"/>
          <w:szCs w:val="20"/>
          <w:highlight w:val="none"/>
          <w:lang w:val="en-US" w:bidi="ar-SA"/>
        </w:rPr>
      </w:pPr>
      <w:bookmarkStart w:id="1096" w:name="_Toc5094"/>
      <w:r>
        <w:rPr>
          <w:rFonts w:ascii="Times New Roman" w:hAnsi="Times New Roman" w:eastAsia="宋体" w:cs="Times New Roman"/>
          <w:bCs w:val="0"/>
          <w:color w:val="auto"/>
          <w:szCs w:val="20"/>
          <w:highlight w:val="none"/>
          <w:lang w:val="en-US" w:bidi="ar-SA"/>
        </w:rPr>
        <w:t>6.1.1施工废水防治措施</w:t>
      </w:r>
      <w:bookmarkEnd w:id="1096"/>
    </w:p>
    <w:p>
      <w:pPr>
        <w:bidi w:val="0"/>
        <w:rPr>
          <w:rFonts w:ascii="Times New Roman" w:hAnsi="Times New Roman" w:eastAsia="宋体" w:cs="Times New Roman"/>
          <w:caps w:val="0"/>
          <w:smallCaps w:val="0"/>
          <w:color w:val="auto"/>
          <w:spacing w:val="0"/>
          <w:w w:val="99"/>
          <w:position w:val="0"/>
          <w:highlight w:val="none"/>
        </w:rPr>
      </w:pPr>
      <w:r>
        <w:rPr>
          <w:color w:val="auto"/>
          <w:highlight w:val="none"/>
        </w:rPr>
        <w:t>当建设施工队伍进入施工现场进行砂、石子冲洗和搅拌浇注混凝土等施工作业过程中将会有施工泥浆废水产生，产生量较少，污染物主要为SS</w:t>
      </w:r>
      <w:r>
        <w:rPr>
          <w:rFonts w:hint="eastAsia"/>
          <w:color w:val="auto"/>
          <w:highlight w:val="none"/>
          <w:lang w:eastAsia="zh-CN"/>
        </w:rPr>
        <w:t>，经沉淀后回用于厂区绿化</w:t>
      </w:r>
      <w:r>
        <w:rPr>
          <w:color w:val="auto"/>
          <w:highlight w:val="none"/>
        </w:rPr>
        <w:t>。生活污水直接排入</w:t>
      </w:r>
      <w:r>
        <w:rPr>
          <w:rFonts w:hint="eastAsia"/>
          <w:color w:val="auto"/>
          <w:highlight w:val="none"/>
          <w:lang w:eastAsia="zh-CN"/>
        </w:rPr>
        <w:t>厂区内污水处理站经处理后回用于生产。</w:t>
      </w:r>
      <w:r>
        <w:rPr>
          <w:color w:val="auto"/>
          <w:highlight w:val="none"/>
        </w:rPr>
        <w:t>对环境影响很小经过这些措施，本工程施工期对地表水环境的影响将大大减小。</w:t>
      </w:r>
    </w:p>
    <w:p>
      <w:pPr>
        <w:pStyle w:val="7"/>
        <w:bidi w:val="0"/>
        <w:outlineLvl w:val="1"/>
        <w:rPr>
          <w:color w:val="auto"/>
          <w:highlight w:val="none"/>
        </w:rPr>
      </w:pPr>
      <w:bookmarkStart w:id="1097" w:name="_Toc15650"/>
      <w:r>
        <w:rPr>
          <w:color w:val="auto"/>
          <w:highlight w:val="none"/>
        </w:rPr>
        <w:t>6.1.2施工扬尘防治措施</w:t>
      </w:r>
      <w:bookmarkEnd w:id="1097"/>
    </w:p>
    <w:p>
      <w:pPr>
        <w:bidi w:val="0"/>
        <w:rPr>
          <w:color w:val="auto"/>
          <w:highlight w:val="none"/>
        </w:rPr>
      </w:pPr>
      <w:r>
        <w:rPr>
          <w:color w:val="auto"/>
          <w:highlight w:val="none"/>
        </w:rPr>
        <w:t>该工程施工阶段对环境空气造成影响较严重的是施工扬尘带来的影响，为尽量减小对周围环境影响，必须对施工期扬尘污染采取有针对性的防治措施。</w:t>
      </w:r>
    </w:p>
    <w:p>
      <w:pPr>
        <w:bidi w:val="0"/>
        <w:rPr>
          <w:color w:val="auto"/>
          <w:highlight w:val="none"/>
        </w:rPr>
      </w:pPr>
      <w:r>
        <w:rPr>
          <w:rFonts w:hint="eastAsia"/>
          <w:color w:val="auto"/>
          <w:highlight w:val="none"/>
          <w:lang w:eastAsia="zh-CN"/>
        </w:rPr>
        <w:t>（</w:t>
      </w:r>
      <w:r>
        <w:rPr>
          <w:color w:val="auto"/>
          <w:highlight w:val="none"/>
        </w:rPr>
        <w:t>1）施工现场周围设置围挡，路面硬化，运输车辆加盖篷布，减轻扬尘对周围环境的影响。</w:t>
      </w:r>
    </w:p>
    <w:p>
      <w:pPr>
        <w:bidi w:val="0"/>
        <w:rPr>
          <w:color w:val="auto"/>
          <w:highlight w:val="none"/>
        </w:rPr>
      </w:pPr>
      <w:r>
        <w:rPr>
          <w:rFonts w:hint="eastAsia"/>
          <w:color w:val="auto"/>
          <w:highlight w:val="none"/>
          <w:lang w:eastAsia="zh-CN"/>
        </w:rPr>
        <w:t>（</w:t>
      </w:r>
      <w:r>
        <w:rPr>
          <w:color w:val="auto"/>
          <w:highlight w:val="none"/>
        </w:rPr>
        <w:t>2）合理安排施工现场，所有的砂石料应统一堆放、保存，应尽可能减少堆场数量，并加篷布等遮盖，尽量减少运输环节，搬运时要做到轻举轻放。</w:t>
      </w:r>
    </w:p>
    <w:p>
      <w:pPr>
        <w:bidi w:val="0"/>
        <w:rPr>
          <w:color w:val="auto"/>
          <w:highlight w:val="none"/>
        </w:rPr>
      </w:pPr>
      <w:r>
        <w:rPr>
          <w:rFonts w:hint="eastAsia"/>
          <w:color w:val="auto"/>
          <w:highlight w:val="none"/>
          <w:lang w:eastAsia="zh-CN"/>
        </w:rPr>
        <w:t>（</w:t>
      </w:r>
      <w:r>
        <w:rPr>
          <w:color w:val="auto"/>
          <w:highlight w:val="none"/>
        </w:rPr>
        <w:t>3）指定专人对施工现场附近的运输道路进行定期喷水，使路面保持一定湿度，防止运输车辆引起的二次扬尘。</w:t>
      </w:r>
    </w:p>
    <w:p>
      <w:pPr>
        <w:bidi w:val="0"/>
        <w:rPr>
          <w:color w:val="auto"/>
          <w:highlight w:val="none"/>
        </w:rPr>
      </w:pPr>
      <w:r>
        <w:rPr>
          <w:rFonts w:hint="eastAsia"/>
          <w:color w:val="auto"/>
          <w:highlight w:val="none"/>
          <w:lang w:eastAsia="zh-CN"/>
        </w:rPr>
        <w:t>（</w:t>
      </w:r>
      <w:r>
        <w:rPr>
          <w:color w:val="auto"/>
          <w:highlight w:val="none"/>
        </w:rPr>
        <w:t>4）谨防运输车辆装载过满，不得超出车厢板高度，并采取遮盖、密闭措施减少沿途抛洒、散落；及时清扫散落在路面上的泥土和建筑材料，定期冲洗轮胎，车辆不得带泥砂出现场。</w:t>
      </w:r>
    </w:p>
    <w:p>
      <w:pPr>
        <w:bidi w:val="0"/>
        <w:rPr>
          <w:color w:val="auto"/>
          <w:highlight w:val="none"/>
        </w:rPr>
      </w:pPr>
      <w:r>
        <w:rPr>
          <w:rFonts w:hint="eastAsia"/>
          <w:color w:val="auto"/>
          <w:highlight w:val="none"/>
          <w:lang w:eastAsia="zh-CN"/>
        </w:rPr>
        <w:t>（</w:t>
      </w:r>
      <w:r>
        <w:rPr>
          <w:color w:val="auto"/>
          <w:highlight w:val="none"/>
        </w:rPr>
        <w:t>5）开挖的土方及建筑垃圾作为绿化场地的抬高土要及时进行利用，以防因长期堆放表面干燥而起尘，对作业面和材料、建筑垃圾等堆放场地定期洒水，使其保持一定的湿度，以减少扬尘量。</w:t>
      </w:r>
    </w:p>
    <w:p>
      <w:pPr>
        <w:bidi w:val="0"/>
        <w:rPr>
          <w:color w:val="auto"/>
          <w:highlight w:val="none"/>
        </w:rPr>
      </w:pPr>
      <w:r>
        <w:rPr>
          <w:rFonts w:hint="eastAsia"/>
          <w:color w:val="auto"/>
          <w:highlight w:val="none"/>
          <w:lang w:eastAsia="zh-CN"/>
        </w:rPr>
        <w:t>（</w:t>
      </w:r>
      <w:r>
        <w:rPr>
          <w:color w:val="auto"/>
          <w:highlight w:val="none"/>
        </w:rPr>
        <w:t>6）对堆存的砂粉建筑材料进行遮盖，当出现风速过大或不利天气状况时应停止施工作业。</w:t>
      </w:r>
    </w:p>
    <w:p>
      <w:pPr>
        <w:bidi w:val="0"/>
        <w:rPr>
          <w:color w:val="auto"/>
          <w:highlight w:val="none"/>
        </w:rPr>
      </w:pPr>
      <w:r>
        <w:rPr>
          <w:rFonts w:hint="eastAsia"/>
          <w:color w:val="auto"/>
          <w:highlight w:val="none"/>
          <w:lang w:eastAsia="zh-CN"/>
        </w:rPr>
        <w:t>（</w:t>
      </w:r>
      <w:r>
        <w:rPr>
          <w:color w:val="auto"/>
          <w:highlight w:val="none"/>
        </w:rPr>
        <w:t>7）合理安排工期，尽可能加快施工进度，减少施工时间，并建议施工单位采取逐段施工方式。</w:t>
      </w:r>
    </w:p>
    <w:p>
      <w:pPr>
        <w:bidi w:val="0"/>
        <w:rPr>
          <w:color w:val="auto"/>
          <w:highlight w:val="none"/>
        </w:rPr>
      </w:pPr>
      <w:r>
        <w:rPr>
          <w:rFonts w:hint="eastAsia"/>
          <w:color w:val="auto"/>
          <w:highlight w:val="none"/>
          <w:lang w:eastAsia="zh-CN"/>
        </w:rPr>
        <w:t>（</w:t>
      </w:r>
      <w:r>
        <w:rPr>
          <w:color w:val="auto"/>
          <w:highlight w:val="none"/>
        </w:rPr>
        <w:t>8）建设单位在工程概算中要包括用于施工过程扬尘控制的专项资金，并且保证该项资金专款专用。</w:t>
      </w:r>
    </w:p>
    <w:p>
      <w:pPr>
        <w:bidi w:val="0"/>
        <w:rPr>
          <w:color w:val="auto"/>
          <w:highlight w:val="none"/>
        </w:rPr>
      </w:pPr>
      <w:r>
        <w:rPr>
          <w:color w:val="auto"/>
          <w:highlight w:val="none"/>
        </w:rPr>
        <w:t>建设单位施工时，在认真落实上述扬尘污染防治措施的基础上，扬尘量可减少50～70%，可有效减少对环境的影响。施工期对环境空气的影响是短期的、局部的，伴随施工期结束，施工过程带来的环境影响也将会消失。</w:t>
      </w:r>
    </w:p>
    <w:p>
      <w:pPr>
        <w:pStyle w:val="7"/>
        <w:bidi w:val="0"/>
        <w:outlineLvl w:val="1"/>
        <w:rPr>
          <w:color w:val="auto"/>
          <w:highlight w:val="none"/>
        </w:rPr>
      </w:pPr>
      <w:bookmarkStart w:id="1098" w:name="_Toc17625"/>
      <w:r>
        <w:rPr>
          <w:color w:val="auto"/>
          <w:highlight w:val="none"/>
        </w:rPr>
        <w:t>6.1.3噪声防治措施</w:t>
      </w:r>
      <w:bookmarkEnd w:id="1098"/>
    </w:p>
    <w:p>
      <w:pPr>
        <w:bidi w:val="0"/>
        <w:rPr>
          <w:color w:val="auto"/>
          <w:highlight w:val="none"/>
        </w:rPr>
      </w:pPr>
      <w:r>
        <w:rPr>
          <w:rFonts w:hint="eastAsia"/>
          <w:color w:val="auto"/>
          <w:highlight w:val="none"/>
          <w:lang w:eastAsia="zh-CN"/>
        </w:rPr>
        <w:t>（</w:t>
      </w:r>
      <w:r>
        <w:rPr>
          <w:color w:val="auto"/>
          <w:highlight w:val="none"/>
        </w:rPr>
        <w:t>1）合理安排施工进度和作业时间，对主要噪声设备应采取相应的限时作业，并尽量避开居民休息时间，在22点到次日早6点之间停止高噪声设施作业与施工，远离敏感目标等措施。</w:t>
      </w:r>
    </w:p>
    <w:p>
      <w:pPr>
        <w:bidi w:val="0"/>
        <w:rPr>
          <w:color w:val="auto"/>
          <w:highlight w:val="none"/>
        </w:rPr>
      </w:pPr>
      <w:r>
        <w:rPr>
          <w:rFonts w:hint="eastAsia"/>
          <w:color w:val="auto"/>
          <w:highlight w:val="none"/>
          <w:lang w:eastAsia="zh-CN"/>
        </w:rPr>
        <w:t>（</w:t>
      </w:r>
      <w:r>
        <w:rPr>
          <w:color w:val="auto"/>
          <w:highlight w:val="none"/>
        </w:rPr>
        <w:t>2）合理安排施工机械安放位置，施工机械应尽可能放置于施工场界外造成影响最小的地点。</w:t>
      </w:r>
    </w:p>
    <w:p>
      <w:pPr>
        <w:bidi w:val="0"/>
        <w:rPr>
          <w:color w:val="auto"/>
          <w:highlight w:val="none"/>
        </w:rPr>
      </w:pPr>
      <w:r>
        <w:rPr>
          <w:rFonts w:hint="eastAsia"/>
          <w:color w:val="auto"/>
          <w:highlight w:val="none"/>
          <w:lang w:eastAsia="zh-CN"/>
        </w:rPr>
        <w:t>（</w:t>
      </w:r>
      <w:r>
        <w:rPr>
          <w:color w:val="auto"/>
          <w:highlight w:val="none"/>
        </w:rPr>
        <w:t>3）优先选用低噪声设备，尽可能以液压工具代替气压工具。</w:t>
      </w:r>
    </w:p>
    <w:p>
      <w:pPr>
        <w:bidi w:val="0"/>
        <w:rPr>
          <w:color w:val="auto"/>
          <w:highlight w:val="none"/>
        </w:rPr>
      </w:pPr>
      <w:r>
        <w:rPr>
          <w:rFonts w:hint="eastAsia"/>
          <w:color w:val="auto"/>
          <w:highlight w:val="none"/>
          <w:lang w:eastAsia="zh-CN"/>
        </w:rPr>
        <w:t>（</w:t>
      </w:r>
      <w:r>
        <w:rPr>
          <w:color w:val="auto"/>
          <w:highlight w:val="none"/>
        </w:rPr>
        <w:t>4）对高噪声设备采取隔声、减震或消声措施，如在声源周围设置遮蔽物、加隔震垫、安装消声器等，可降低噪声源30～50dB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w:t>
      </w:r>
    </w:p>
    <w:p>
      <w:pPr>
        <w:bidi w:val="0"/>
        <w:rPr>
          <w:color w:val="auto"/>
          <w:highlight w:val="none"/>
        </w:rPr>
      </w:pPr>
      <w:r>
        <w:rPr>
          <w:rFonts w:hint="eastAsia"/>
          <w:color w:val="auto"/>
          <w:highlight w:val="none"/>
          <w:lang w:eastAsia="zh-CN"/>
        </w:rPr>
        <w:t>（</w:t>
      </w:r>
      <w:r>
        <w:rPr>
          <w:color w:val="auto"/>
          <w:highlight w:val="none"/>
        </w:rPr>
        <w:t>5）尽量压缩施工期内汽车数量和行车密度，控制汽车鸣笛。</w:t>
      </w:r>
    </w:p>
    <w:p>
      <w:pPr>
        <w:bidi w:val="0"/>
        <w:rPr>
          <w:color w:val="auto"/>
          <w:highlight w:val="none"/>
        </w:rPr>
      </w:pPr>
      <w:r>
        <w:rPr>
          <w:rFonts w:hint="eastAsia"/>
          <w:color w:val="auto"/>
          <w:highlight w:val="none"/>
          <w:lang w:eastAsia="zh-CN"/>
        </w:rPr>
        <w:t>（</w:t>
      </w:r>
      <w:r>
        <w:rPr>
          <w:color w:val="auto"/>
          <w:highlight w:val="none"/>
        </w:rPr>
        <w:t>6）注意对施工设备的维修、保养，使各种施工机械保持良好的运行状态。</w:t>
      </w:r>
    </w:p>
    <w:p>
      <w:pPr>
        <w:bidi w:val="0"/>
        <w:rPr>
          <w:color w:val="auto"/>
          <w:highlight w:val="none"/>
        </w:rPr>
      </w:pPr>
      <w:r>
        <w:rPr>
          <w:rFonts w:hint="eastAsia"/>
          <w:color w:val="auto"/>
          <w:highlight w:val="none"/>
          <w:lang w:eastAsia="zh-CN"/>
        </w:rPr>
        <w:t>（</w:t>
      </w:r>
      <w:r>
        <w:rPr>
          <w:color w:val="auto"/>
          <w:highlight w:val="none"/>
        </w:rPr>
        <w:t>7）在搬运易产生噪声的施工设备、建筑材料等时，应尽可能轻拿轻放，以避免相互碰撞而产生噪声。</w:t>
      </w:r>
    </w:p>
    <w:p>
      <w:pPr>
        <w:bidi w:val="0"/>
        <w:rPr>
          <w:color w:val="auto"/>
          <w:highlight w:val="none"/>
        </w:rPr>
      </w:pPr>
      <w:r>
        <w:rPr>
          <w:color w:val="auto"/>
          <w:highlight w:val="none"/>
        </w:rPr>
        <w:t>总之，通过选用低噪声施工设备，高噪声设备封闭使用，夜间停止施工等措施后场界噪声符合《建筑施工场界环境噪声排放标准》</w:t>
      </w:r>
      <w:r>
        <w:rPr>
          <w:rFonts w:hint="eastAsia"/>
          <w:color w:val="auto"/>
          <w:highlight w:val="none"/>
          <w:lang w:eastAsia="zh-CN"/>
        </w:rPr>
        <w:t>（</w:t>
      </w:r>
      <w:r>
        <w:rPr>
          <w:color w:val="auto"/>
          <w:highlight w:val="none"/>
        </w:rPr>
        <w:t>GB 12523-2011</w:t>
      </w:r>
      <w:r>
        <w:rPr>
          <w:rFonts w:hint="eastAsia"/>
          <w:color w:val="auto"/>
          <w:highlight w:val="none"/>
          <w:lang w:eastAsia="zh-CN"/>
        </w:rPr>
        <w:t>）</w:t>
      </w:r>
      <w:r>
        <w:rPr>
          <w:color w:val="auto"/>
          <w:highlight w:val="none"/>
        </w:rPr>
        <w:t>要求。</w:t>
      </w:r>
    </w:p>
    <w:p>
      <w:pPr>
        <w:pStyle w:val="7"/>
        <w:bidi w:val="0"/>
        <w:outlineLvl w:val="1"/>
        <w:rPr>
          <w:color w:val="auto"/>
          <w:highlight w:val="none"/>
        </w:rPr>
      </w:pPr>
      <w:bookmarkStart w:id="1099" w:name="_Toc11999"/>
      <w:r>
        <w:rPr>
          <w:color w:val="auto"/>
          <w:highlight w:val="none"/>
        </w:rPr>
        <w:t>6.1.4固体废物防治措施</w:t>
      </w:r>
      <w:bookmarkEnd w:id="1099"/>
    </w:p>
    <w:p>
      <w:pPr>
        <w:bidi w:val="0"/>
        <w:rPr>
          <w:color w:val="auto"/>
          <w:highlight w:val="none"/>
        </w:rPr>
      </w:pPr>
      <w:r>
        <w:rPr>
          <w:color w:val="auto"/>
          <w:highlight w:val="none"/>
        </w:rPr>
        <w:t>建设施工期固体废物主要为施工弃土及施工人员的少量生活垃圾等。</w:t>
      </w:r>
    </w:p>
    <w:p>
      <w:pPr>
        <w:bidi w:val="0"/>
        <w:rPr>
          <w:color w:val="auto"/>
          <w:highlight w:val="none"/>
        </w:rPr>
      </w:pPr>
      <w:r>
        <w:rPr>
          <w:rFonts w:hint="eastAsia"/>
          <w:color w:val="auto"/>
          <w:highlight w:val="none"/>
          <w:lang w:eastAsia="zh-CN"/>
        </w:rPr>
        <w:t>（</w:t>
      </w:r>
      <w:r>
        <w:rPr>
          <w:color w:val="auto"/>
          <w:highlight w:val="none"/>
        </w:rPr>
        <w:t>1）施工人员产生的生活垃圾量较少，可设置固定垃圾箱存放，统一清运，不得随意丢弃。</w:t>
      </w:r>
    </w:p>
    <w:p>
      <w:pPr>
        <w:bidi w:val="0"/>
        <w:rPr>
          <w:color w:val="auto"/>
          <w:highlight w:val="none"/>
        </w:rPr>
      </w:pPr>
      <w:r>
        <w:rPr>
          <w:rFonts w:hint="eastAsia"/>
          <w:color w:val="auto"/>
          <w:highlight w:val="none"/>
          <w:lang w:eastAsia="zh-CN"/>
        </w:rPr>
        <w:t>（</w:t>
      </w:r>
      <w:r>
        <w:rPr>
          <w:color w:val="auto"/>
          <w:highlight w:val="none"/>
        </w:rPr>
        <w:t>2）建筑垃圾运至指定地点处理。对施工过程中产生的碎石、碎砖等碎建筑材料，应考虑其能否应用于场地平整等综合利用，并且要尽快利用，以减少堆存时间。若在不能确保其全部利用时，需对不能利用部分运至指定地点处理。</w:t>
      </w:r>
    </w:p>
    <w:p>
      <w:pPr>
        <w:bidi w:val="0"/>
        <w:rPr>
          <w:color w:val="auto"/>
          <w:highlight w:val="none"/>
        </w:rPr>
      </w:pPr>
      <w:r>
        <w:rPr>
          <w:rFonts w:hint="eastAsia"/>
          <w:color w:val="auto"/>
          <w:highlight w:val="none"/>
          <w:lang w:eastAsia="zh-CN"/>
        </w:rPr>
        <w:t>（</w:t>
      </w:r>
      <w:r>
        <w:rPr>
          <w:color w:val="auto"/>
          <w:highlight w:val="none"/>
        </w:rPr>
        <w:t>3）现场搅拌砂浆和混凝土时，按用量进行调配，尽可能做到不撒、不漏、不倒、不放。</w:t>
      </w:r>
    </w:p>
    <w:p>
      <w:pPr>
        <w:bidi w:val="0"/>
        <w:rPr>
          <w:color w:val="auto"/>
          <w:highlight w:val="none"/>
        </w:rPr>
      </w:pPr>
      <w:r>
        <w:rPr>
          <w:rFonts w:hint="eastAsia"/>
          <w:color w:val="auto"/>
          <w:highlight w:val="none"/>
          <w:lang w:eastAsia="zh-CN"/>
        </w:rPr>
        <w:t>（</w:t>
      </w:r>
      <w:r>
        <w:rPr>
          <w:color w:val="auto"/>
          <w:highlight w:val="none"/>
        </w:rPr>
        <w:t>4）指定固定的行车路线，防止随意毁坏地表植被，侵占农田。</w:t>
      </w:r>
    </w:p>
    <w:p>
      <w:pPr>
        <w:bidi w:val="0"/>
        <w:rPr>
          <w:color w:val="auto"/>
          <w:highlight w:val="none"/>
        </w:rPr>
      </w:pPr>
      <w:r>
        <w:rPr>
          <w:rFonts w:hint="eastAsia"/>
          <w:color w:val="auto"/>
          <w:highlight w:val="none"/>
          <w:lang w:eastAsia="zh-CN"/>
        </w:rPr>
        <w:t>（</w:t>
      </w:r>
      <w:r>
        <w:rPr>
          <w:color w:val="auto"/>
          <w:highlight w:val="none"/>
        </w:rPr>
        <w:t>5）施工期间，修筑临时施工围墙，防止施工时随意破坏周围植被，防止水土流失。</w:t>
      </w:r>
    </w:p>
    <w:p>
      <w:pPr>
        <w:pStyle w:val="6"/>
        <w:bidi w:val="0"/>
        <w:outlineLvl w:val="1"/>
        <w:rPr>
          <w:color w:val="auto"/>
          <w:highlight w:val="none"/>
        </w:rPr>
      </w:pPr>
      <w:bookmarkStart w:id="1100" w:name="_Toc17648"/>
      <w:bookmarkStart w:id="1101" w:name="_Toc2809"/>
      <w:bookmarkStart w:id="1102" w:name="_Toc460677717"/>
      <w:bookmarkStart w:id="1103" w:name="_Toc19795"/>
      <w:r>
        <w:rPr>
          <w:color w:val="auto"/>
          <w:highlight w:val="none"/>
        </w:rPr>
        <w:t>6.2防沙治沙措施</w:t>
      </w:r>
      <w:bookmarkEnd w:id="1100"/>
      <w:bookmarkEnd w:id="1101"/>
      <w:bookmarkEnd w:id="1102"/>
      <w:bookmarkEnd w:id="1103"/>
    </w:p>
    <w:p>
      <w:pPr>
        <w:bidi w:val="0"/>
        <w:rPr>
          <w:color w:val="auto"/>
          <w:highlight w:val="none"/>
        </w:rPr>
      </w:pPr>
      <w:bookmarkStart w:id="1104" w:name="_Toc11071"/>
      <w:r>
        <w:rPr>
          <w:color w:val="auto"/>
          <w:highlight w:val="none"/>
        </w:rPr>
        <w:t>根据《黑龙江省防沙治沙条例 》</w:t>
      </w:r>
      <w:r>
        <w:rPr>
          <w:rFonts w:hint="eastAsia"/>
          <w:color w:val="auto"/>
          <w:highlight w:val="none"/>
          <w:lang w:eastAsia="zh-CN"/>
        </w:rPr>
        <w:t>（</w:t>
      </w:r>
      <w:r>
        <w:rPr>
          <w:color w:val="auto"/>
          <w:highlight w:val="none"/>
        </w:rPr>
        <w:t>2008年10月17日黑龙江省第十一届人民代表大会常务委员会第六次会议通过），大庆市国家级防沙治沙综合试验示范区，重点增加和恢复林草植被，治理严重沙化的草原和荒滩、荒地，本评价要求企业采取以下措施进行防沙治沙。</w:t>
      </w:r>
    </w:p>
    <w:p>
      <w:pPr>
        <w:bidi w:val="0"/>
        <w:rPr>
          <w:color w:val="auto"/>
          <w:highlight w:val="none"/>
        </w:rPr>
      </w:pPr>
      <w:r>
        <w:rPr>
          <w:rFonts w:hint="eastAsia"/>
          <w:color w:val="auto"/>
          <w:highlight w:val="none"/>
          <w:lang w:eastAsia="zh-CN"/>
        </w:rPr>
        <w:t>（</w:t>
      </w:r>
      <w:r>
        <w:rPr>
          <w:color w:val="auto"/>
          <w:highlight w:val="none"/>
        </w:rPr>
        <w:t>1）对厂区现有植被进行保护</w:t>
      </w:r>
    </w:p>
    <w:p>
      <w:pPr>
        <w:bidi w:val="0"/>
        <w:rPr>
          <w:color w:val="auto"/>
          <w:highlight w:val="none"/>
        </w:rPr>
      </w:pPr>
      <w:r>
        <w:rPr>
          <w:color w:val="auto"/>
          <w:highlight w:val="none"/>
        </w:rPr>
        <w:t>企业应对本厂区内的现有植被加强保护，特别是一些抗沙树种，严禁砍伐。</w:t>
      </w:r>
    </w:p>
    <w:p>
      <w:pPr>
        <w:bidi w:val="0"/>
        <w:rPr>
          <w:color w:val="auto"/>
          <w:highlight w:val="none"/>
        </w:rPr>
      </w:pPr>
      <w:r>
        <w:rPr>
          <w:rFonts w:hint="eastAsia"/>
          <w:color w:val="auto"/>
          <w:highlight w:val="none"/>
          <w:lang w:eastAsia="zh-CN"/>
        </w:rPr>
        <w:t>（</w:t>
      </w:r>
      <w:r>
        <w:rPr>
          <w:color w:val="auto"/>
          <w:highlight w:val="none"/>
        </w:rPr>
        <w:t>2）建立人工植被，形成综合防护体系。企业在保护天然植被的工作外，还要在厂区营造乔木灌结合的防沙林带或防沙片林，其内部建立防护网，形成</w:t>
      </w:r>
      <w:r>
        <w:rPr>
          <w:rFonts w:hint="eastAsia"/>
          <w:color w:val="auto"/>
          <w:highlight w:val="none"/>
          <w:lang w:eastAsia="zh-CN"/>
        </w:rPr>
        <w:t>“</w:t>
      </w:r>
      <w:r>
        <w:rPr>
          <w:color w:val="auto"/>
          <w:highlight w:val="none"/>
        </w:rPr>
        <w:t>乔、灌、草</w:t>
      </w:r>
      <w:r>
        <w:rPr>
          <w:rFonts w:hint="eastAsia"/>
          <w:color w:val="auto"/>
          <w:highlight w:val="none"/>
          <w:lang w:eastAsia="zh-CN"/>
        </w:rPr>
        <w:t>”</w:t>
      </w:r>
      <w:r>
        <w:rPr>
          <w:color w:val="auto"/>
          <w:highlight w:val="none"/>
        </w:rPr>
        <w:t>，</w:t>
      </w:r>
      <w:r>
        <w:rPr>
          <w:rFonts w:hint="eastAsia"/>
          <w:color w:val="auto"/>
          <w:highlight w:val="none"/>
          <w:lang w:eastAsia="zh-CN"/>
        </w:rPr>
        <w:t>“</w:t>
      </w:r>
      <w:r>
        <w:rPr>
          <w:color w:val="auto"/>
          <w:highlight w:val="none"/>
        </w:rPr>
        <w:t>网、带</w:t>
      </w:r>
      <w:r>
        <w:rPr>
          <w:rFonts w:hint="eastAsia"/>
          <w:color w:val="auto"/>
          <w:highlight w:val="none"/>
          <w:lang w:eastAsia="zh-CN"/>
        </w:rPr>
        <w:t>”</w:t>
      </w:r>
      <w:r>
        <w:rPr>
          <w:color w:val="auto"/>
          <w:highlight w:val="none"/>
        </w:rPr>
        <w:t>结合的综合防护体系。</w:t>
      </w:r>
    </w:p>
    <w:p>
      <w:pPr>
        <w:bidi w:val="0"/>
        <w:rPr>
          <w:color w:val="auto"/>
          <w:highlight w:val="none"/>
        </w:rPr>
      </w:pPr>
      <w:r>
        <w:rPr>
          <w:rFonts w:hint="eastAsia"/>
          <w:color w:val="auto"/>
          <w:highlight w:val="none"/>
          <w:lang w:eastAsia="zh-CN"/>
        </w:rPr>
        <w:t>（</w:t>
      </w:r>
      <w:r>
        <w:rPr>
          <w:color w:val="auto"/>
          <w:highlight w:val="none"/>
        </w:rPr>
        <w:t>3）厂区绿化对于吸收和滞留有害气体，补充新鲜空气，阻隔噪声，保护生态环境，改善工作环境，美化劳动环境，改善小气候等均有着十分重要的作用。建设项目严格按照规划绿地面积进行绿化工作，严禁占用规划的绿地面积。沿厂区四周围墙内侧及建筑物四周广植草坪、大量绿化，并在厂前区及生产辅助区植物四季花卉、常绿灌木，以提高厂区的环境质量。在树种的选择上，充分考虑植物的季相变化，同时因地制宜，合理布局各种绿化小品，并根据各区块单体建设的先后，在建设的同时进行绿化，进行最快速度的生态补偿，力求建成生态景观林，以提高绿化环境质量，改善区域的绿化生态环境，生产车间附近种植防火耐热树种和耐二氧化硫树种，总图设计要求绿化结构注重功能，兼顾美观，保证重点，加强规划，注意养护，同步建设。</w:t>
      </w:r>
    </w:p>
    <w:p>
      <w:pPr>
        <w:bidi w:val="0"/>
        <w:rPr>
          <w:color w:val="auto"/>
          <w:highlight w:val="none"/>
        </w:rPr>
      </w:pPr>
      <w:r>
        <w:rPr>
          <w:rFonts w:hint="eastAsia"/>
          <w:color w:val="auto"/>
          <w:highlight w:val="none"/>
          <w:lang w:eastAsia="zh-CN"/>
        </w:rPr>
        <w:t>（</w:t>
      </w:r>
      <w:r>
        <w:rPr>
          <w:color w:val="auto"/>
          <w:highlight w:val="none"/>
        </w:rPr>
        <w:t>4）项目建设过程中还应加强厂区道路的硬化，消除裸露地面，防止沙尘的产生。</w:t>
      </w:r>
    </w:p>
    <w:p>
      <w:pPr>
        <w:pStyle w:val="6"/>
        <w:bidi w:val="0"/>
        <w:outlineLvl w:val="1"/>
        <w:rPr>
          <w:color w:val="auto"/>
          <w:highlight w:val="none"/>
        </w:rPr>
      </w:pPr>
      <w:bookmarkStart w:id="1105" w:name="_Toc16898"/>
      <w:bookmarkStart w:id="1106" w:name="_Toc3860"/>
      <w:r>
        <w:rPr>
          <w:color w:val="auto"/>
          <w:highlight w:val="none"/>
        </w:rPr>
        <w:t>6.3运营期污染物防治措施</w:t>
      </w:r>
      <w:bookmarkEnd w:id="1104"/>
      <w:bookmarkEnd w:id="1105"/>
      <w:bookmarkEnd w:id="1106"/>
    </w:p>
    <w:bookmarkEnd w:id="1089"/>
    <w:bookmarkEnd w:id="1090"/>
    <w:bookmarkEnd w:id="1091"/>
    <w:bookmarkEnd w:id="1092"/>
    <w:bookmarkEnd w:id="1093"/>
    <w:bookmarkEnd w:id="1094"/>
    <w:bookmarkEnd w:id="1095"/>
    <w:p>
      <w:pPr>
        <w:pStyle w:val="7"/>
        <w:bidi w:val="0"/>
        <w:rPr>
          <w:color w:val="auto"/>
          <w:highlight w:val="none"/>
        </w:rPr>
      </w:pPr>
      <w:bookmarkStart w:id="1107" w:name="_Toc31787"/>
      <w:bookmarkStart w:id="1108" w:name="_Toc17593"/>
      <w:bookmarkStart w:id="1109" w:name="_Toc5902"/>
      <w:bookmarkStart w:id="1110" w:name="_Toc4222"/>
      <w:bookmarkStart w:id="1111" w:name="_Toc26382"/>
      <w:bookmarkStart w:id="1112" w:name="_Toc12699"/>
      <w:r>
        <w:rPr>
          <w:color w:val="auto"/>
          <w:highlight w:val="none"/>
        </w:rPr>
        <w:t>6.3.1废水治理措施及利用可行性分析</w:t>
      </w:r>
      <w:bookmarkEnd w:id="1107"/>
      <w:bookmarkEnd w:id="1108"/>
      <w:bookmarkEnd w:id="1109"/>
      <w:bookmarkEnd w:id="1110"/>
      <w:bookmarkEnd w:id="1111"/>
      <w:bookmarkEnd w:id="1112"/>
    </w:p>
    <w:p>
      <w:pPr>
        <w:bidi w:val="0"/>
        <w:spacing w:line="500" w:lineRule="exact"/>
        <w:ind w:firstLine="480" w:firstLineChars="200"/>
        <w:rPr>
          <w:color w:val="auto"/>
          <w:highlight w:val="none"/>
        </w:rPr>
      </w:pPr>
      <w:r>
        <w:rPr>
          <w:color w:val="auto"/>
          <w:highlight w:val="none"/>
        </w:rPr>
        <w:t>本项目</w:t>
      </w:r>
      <w:r>
        <w:rPr>
          <w:rFonts w:hint="eastAsia"/>
          <w:color w:val="auto"/>
          <w:highlight w:val="none"/>
        </w:rPr>
        <w:t>生产工艺用水量909.09m</w:t>
      </w:r>
      <w:r>
        <w:rPr>
          <w:rFonts w:hint="eastAsia"/>
          <w:color w:val="auto"/>
          <w:highlight w:val="none"/>
          <w:vertAlign w:val="superscript"/>
        </w:rPr>
        <w:t>3</w:t>
      </w:r>
      <w:r>
        <w:rPr>
          <w:rFonts w:hint="eastAsia"/>
          <w:color w:val="auto"/>
          <w:highlight w:val="none"/>
        </w:rPr>
        <w:t>/d</w:t>
      </w:r>
      <w:r>
        <w:rPr>
          <w:rFonts w:hint="eastAsia"/>
          <w:color w:val="auto"/>
          <w:highlight w:val="none"/>
          <w:lang w:eastAsia="zh-CN"/>
        </w:rPr>
        <w:t>（</w:t>
      </w:r>
      <w:r>
        <w:rPr>
          <w:rFonts w:hint="eastAsia"/>
          <w:color w:val="auto"/>
          <w:highlight w:val="none"/>
        </w:rPr>
        <w:t>300000m</w:t>
      </w:r>
      <w:r>
        <w:rPr>
          <w:rFonts w:hint="eastAsia"/>
          <w:color w:val="auto"/>
          <w:highlight w:val="none"/>
          <w:vertAlign w:val="superscript"/>
        </w:rPr>
        <w:t>3</w:t>
      </w:r>
      <w:r>
        <w:rPr>
          <w:rFonts w:hint="eastAsia"/>
          <w:color w:val="auto"/>
          <w:highlight w:val="none"/>
        </w:rPr>
        <w:t>/d）；</w:t>
      </w:r>
      <w:r>
        <w:rPr>
          <w:color w:val="auto"/>
          <w:highlight w:val="none"/>
        </w:rPr>
        <w:t>锅炉</w:t>
      </w:r>
      <w:r>
        <w:rPr>
          <w:rFonts w:hint="eastAsia"/>
          <w:color w:val="auto"/>
          <w:highlight w:val="none"/>
          <w:lang w:eastAsia="zh-CN"/>
        </w:rPr>
        <w:t>排污</w:t>
      </w:r>
      <w:r>
        <w:rPr>
          <w:color w:val="auto"/>
          <w:highlight w:val="none"/>
        </w:rPr>
        <w:t>水</w:t>
      </w:r>
      <w:r>
        <w:rPr>
          <w:rFonts w:hint="eastAsia" w:cs="Times New Roman"/>
          <w:color w:val="auto"/>
          <w:sz w:val="24"/>
          <w:highlight w:val="none"/>
          <w:lang w:val="en-US" w:eastAsia="zh-CN"/>
        </w:rPr>
        <w:t>4.5</w:t>
      </w:r>
      <w:r>
        <w:rPr>
          <w:rFonts w:hint="eastAsia"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1482.74</w:t>
      </w:r>
      <w:r>
        <w:rPr>
          <w:rFonts w:hint="eastAsia" w:ascii="Times New Roman" w:hAnsi="Times New Roman" w:eastAsia="宋体" w:cs="Times New Roman"/>
          <w:color w:val="auto"/>
          <w:sz w:val="24"/>
          <w:highlight w:val="none"/>
        </w:rPr>
        <w:t>t/</w:t>
      </w:r>
      <w:r>
        <w:rPr>
          <w:rFonts w:hint="eastAsia" w:ascii="Times New Roman" w:hAnsi="Times New Roman" w:eastAsia="宋体" w:cs="Times New Roman"/>
          <w:color w:val="auto"/>
          <w:sz w:val="24"/>
          <w:highlight w:val="none"/>
          <w:lang w:val="en-US" w:eastAsia="zh-CN"/>
        </w:rPr>
        <w:t>a</w:t>
      </w:r>
      <w:r>
        <w:rPr>
          <w:rFonts w:hint="eastAsia" w:ascii="Times New Roman" w:hAnsi="Times New Roman" w:eastAsia="宋体" w:cs="Times New Roman"/>
          <w:color w:val="auto"/>
          <w:sz w:val="24"/>
          <w:highlight w:val="none"/>
          <w:lang w:eastAsia="zh-CN"/>
        </w:rPr>
        <w:t>）</w:t>
      </w:r>
      <w:r>
        <w:rPr>
          <w:color w:val="auto"/>
          <w:highlight w:val="none"/>
        </w:rPr>
        <w:t>，生活</w:t>
      </w:r>
      <w:r>
        <w:rPr>
          <w:rFonts w:hint="eastAsia"/>
          <w:color w:val="auto"/>
          <w:highlight w:val="none"/>
          <w:lang w:eastAsia="zh-CN"/>
        </w:rPr>
        <w:t>污</w:t>
      </w:r>
      <w:r>
        <w:rPr>
          <w:color w:val="auto"/>
          <w:highlight w:val="none"/>
        </w:rPr>
        <w:t>水量为</w:t>
      </w:r>
      <w:r>
        <w:rPr>
          <w:rFonts w:hint="eastAsia" w:cs="Times New Roman"/>
          <w:color w:val="auto"/>
          <w:sz w:val="24"/>
          <w:highlight w:val="none"/>
          <w:lang w:val="en-US" w:eastAsia="zh-CN"/>
        </w:rPr>
        <w:t>0.36</w:t>
      </w:r>
      <w:r>
        <w:rPr>
          <w:rFonts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118.8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hint="eastAsia"/>
          <w:color w:val="auto"/>
          <w:highlight w:val="none"/>
        </w:rPr>
        <w:t>。</w:t>
      </w:r>
      <w:r>
        <w:rPr>
          <w:rFonts w:hint="eastAsia"/>
          <w:color w:val="auto"/>
          <w:highlight w:val="none"/>
          <w:lang w:eastAsia="zh-CN"/>
        </w:rPr>
        <w:t>生活污水</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r>
        <w:rPr>
          <w:color w:val="auto"/>
          <w:highlight w:val="none"/>
        </w:rPr>
        <w:t>生产废水、锅炉排水均经污水处理站处理后全部循环使用，不外排。</w:t>
      </w:r>
    </w:p>
    <w:p>
      <w:pPr>
        <w:bidi w:val="0"/>
        <w:rPr>
          <w:color w:val="auto"/>
          <w:highlight w:val="none"/>
        </w:rPr>
      </w:pPr>
      <w:r>
        <w:rPr>
          <w:color w:val="auto"/>
          <w:highlight w:val="none"/>
        </w:rPr>
        <w:t>生产工艺废水全部经污水处理站处理后循序使用，锅炉排水排入污水处理站，处理后作为工艺水回用，</w:t>
      </w:r>
      <w:r>
        <w:rPr>
          <w:rFonts w:hint="eastAsia"/>
          <w:color w:val="auto"/>
          <w:highlight w:val="none"/>
          <w:lang w:eastAsia="zh-CN"/>
        </w:rPr>
        <w:t>生活污水</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r>
        <w:rPr>
          <w:color w:val="auto"/>
          <w:highlight w:val="none"/>
        </w:rPr>
        <w:t>故仅对污水处理站处理后的水回用可行性进行分析。</w:t>
      </w:r>
    </w:p>
    <w:p>
      <w:pPr>
        <w:bidi w:val="0"/>
        <w:rPr>
          <w:rFonts w:hint="eastAsia" w:eastAsia="宋体"/>
          <w:color w:val="auto"/>
          <w:highlight w:val="none"/>
          <w:lang w:eastAsia="zh-CN"/>
        </w:rPr>
      </w:pPr>
      <w:r>
        <w:rPr>
          <w:color w:val="auto"/>
          <w:highlight w:val="none"/>
        </w:rPr>
        <w:t>工程生产过程中产生的废水主要是斜筛脱水机脱下的水、网下、压榨脱下的水和锅炉排水，本项目</w:t>
      </w:r>
      <w:r>
        <w:rPr>
          <w:rFonts w:hint="eastAsia"/>
          <w:color w:val="auto"/>
          <w:highlight w:val="none"/>
        </w:rPr>
        <w:t>以漂白针叶木浆和</w:t>
      </w:r>
      <w:r>
        <w:rPr>
          <w:rFonts w:hint="eastAsia"/>
          <w:color w:val="auto"/>
          <w:highlight w:val="none"/>
          <w:lang w:eastAsia="zh-CN"/>
        </w:rPr>
        <w:t>木浆成份纸板</w:t>
      </w:r>
      <w:r>
        <w:rPr>
          <w:rFonts w:hint="eastAsia"/>
          <w:color w:val="auto"/>
          <w:highlight w:val="none"/>
        </w:rPr>
        <w:t>为原料</w:t>
      </w:r>
      <w:r>
        <w:rPr>
          <w:rFonts w:hint="eastAsia"/>
          <w:color w:val="auto"/>
          <w:highlight w:val="none"/>
          <w:lang w:eastAsia="zh-CN"/>
        </w:rPr>
        <w:t>，</w:t>
      </w:r>
      <w:r>
        <w:rPr>
          <w:color w:val="auto"/>
          <w:highlight w:val="none"/>
        </w:rPr>
        <w:t>生产废水主要成分为原料带入的细沙、泥土等无机物，有机物含量较少，污染物浓度：COD</w:t>
      </w:r>
      <w:r>
        <w:rPr>
          <w:rFonts w:hint="eastAsia"/>
          <w:color w:val="auto"/>
          <w:highlight w:val="none"/>
          <w:lang w:val="en-US" w:eastAsia="zh-CN"/>
        </w:rPr>
        <w:t>2800</w:t>
      </w:r>
      <w:r>
        <w:rPr>
          <w:color w:val="auto"/>
          <w:highlight w:val="none"/>
        </w:rPr>
        <w:t>mg/L</w:t>
      </w:r>
      <w:r>
        <w:rPr>
          <w:rFonts w:hint="eastAsia"/>
          <w:color w:val="auto"/>
          <w:highlight w:val="none"/>
        </w:rPr>
        <w:t>，</w:t>
      </w:r>
      <w:r>
        <w:rPr>
          <w:color w:val="auto"/>
          <w:highlight w:val="none"/>
        </w:rPr>
        <w:t>BOD</w:t>
      </w:r>
      <w:r>
        <w:rPr>
          <w:rFonts w:hint="eastAsia"/>
          <w:color w:val="auto"/>
          <w:highlight w:val="none"/>
          <w:vertAlign w:val="subscript"/>
          <w:lang w:val="en-US" w:eastAsia="zh-CN"/>
        </w:rPr>
        <w:t>5</w:t>
      </w:r>
      <w:r>
        <w:rPr>
          <w:rFonts w:hint="eastAsia"/>
          <w:color w:val="auto"/>
          <w:highlight w:val="none"/>
          <w:lang w:val="en-US" w:eastAsia="zh-CN"/>
        </w:rPr>
        <w:t>800</w:t>
      </w:r>
      <w:r>
        <w:rPr>
          <w:color w:val="auto"/>
          <w:highlight w:val="none"/>
        </w:rPr>
        <w:t>mg/L</w:t>
      </w:r>
      <w:r>
        <w:rPr>
          <w:rFonts w:hint="eastAsia"/>
          <w:color w:val="auto"/>
          <w:highlight w:val="none"/>
        </w:rPr>
        <w:t>，</w:t>
      </w:r>
      <w:r>
        <w:rPr>
          <w:color w:val="auto"/>
          <w:highlight w:val="none"/>
        </w:rPr>
        <w:t>SS</w:t>
      </w:r>
      <w:r>
        <w:rPr>
          <w:rFonts w:hint="eastAsia"/>
          <w:color w:val="auto"/>
          <w:highlight w:val="none"/>
          <w:lang w:val="en-US" w:eastAsia="zh-CN"/>
        </w:rPr>
        <w:t>1500</w:t>
      </w:r>
      <w:r>
        <w:rPr>
          <w:color w:val="auto"/>
          <w:highlight w:val="none"/>
        </w:rPr>
        <w:t>mg/L，</w:t>
      </w:r>
      <w:r>
        <w:rPr>
          <w:rFonts w:hint="eastAsia"/>
          <w:color w:val="auto"/>
          <w:highlight w:val="none"/>
        </w:rPr>
        <w:t>氨氮</w:t>
      </w:r>
      <w:r>
        <w:rPr>
          <w:rFonts w:hint="eastAsia"/>
          <w:color w:val="auto"/>
          <w:highlight w:val="none"/>
          <w:lang w:val="en-US" w:eastAsia="zh-CN"/>
        </w:rPr>
        <w:t>15</w:t>
      </w:r>
      <w:r>
        <w:rPr>
          <w:color w:val="auto"/>
          <w:highlight w:val="none"/>
        </w:rPr>
        <w:t>mg/L，故采用</w:t>
      </w:r>
      <w:r>
        <w:rPr>
          <w:rFonts w:hint="eastAsia"/>
          <w:color w:val="auto"/>
          <w:highlight w:val="none"/>
          <w:lang w:val="en-US" w:eastAsia="zh-CN"/>
        </w:rPr>
        <w:t>高效浅层</w:t>
      </w:r>
      <w:r>
        <w:rPr>
          <w:rFonts w:hint="eastAsia"/>
          <w:color w:val="auto"/>
          <w:highlight w:val="none"/>
        </w:rPr>
        <w:t>气浮+A/O生化+</w:t>
      </w:r>
      <w:r>
        <w:rPr>
          <w:rFonts w:hint="eastAsia"/>
          <w:color w:val="auto"/>
          <w:highlight w:val="none"/>
          <w:lang w:val="en-US" w:eastAsia="zh-CN"/>
        </w:rPr>
        <w:t>混凝</w:t>
      </w:r>
      <w:r>
        <w:rPr>
          <w:rFonts w:hint="eastAsia"/>
          <w:color w:val="auto"/>
          <w:highlight w:val="none"/>
        </w:rPr>
        <w:t>沉淀工艺</w:t>
      </w:r>
      <w:r>
        <w:rPr>
          <w:rFonts w:hint="eastAsia"/>
          <w:color w:val="auto"/>
          <w:highlight w:val="none"/>
          <w:lang w:eastAsia="zh-CN"/>
        </w:rPr>
        <w:t>，</w:t>
      </w:r>
      <w:r>
        <w:rPr>
          <w:rFonts w:hint="eastAsia"/>
          <w:color w:val="auto"/>
          <w:highlight w:val="none"/>
        </w:rPr>
        <w:t>经处理后再回用于生产工艺</w:t>
      </w:r>
      <w:r>
        <w:rPr>
          <w:color w:val="auto"/>
          <w:highlight w:val="none"/>
        </w:rPr>
        <w:t>，</w:t>
      </w:r>
      <w:r>
        <w:rPr>
          <w:rFonts w:hint="eastAsia"/>
          <w:color w:val="auto"/>
          <w:highlight w:val="none"/>
        </w:rPr>
        <w:t>沉淀污泥经</w:t>
      </w:r>
      <w:r>
        <w:rPr>
          <w:rFonts w:hint="eastAsia"/>
          <w:color w:val="auto"/>
          <w:highlight w:val="none"/>
          <w:lang w:val="en-US" w:eastAsia="zh-CN"/>
        </w:rPr>
        <w:t>脱水机脱水</w:t>
      </w:r>
      <w:r>
        <w:rPr>
          <w:rFonts w:hint="eastAsia"/>
          <w:color w:val="auto"/>
          <w:highlight w:val="none"/>
        </w:rPr>
        <w:t>后外售砖厂制砖</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aps w:val="0"/>
          <w:smallCaps w:val="0"/>
          <w:color w:val="auto"/>
          <w:spacing w:val="0"/>
          <w:w w:val="99"/>
          <w:position w:val="0"/>
          <w:highlight w:val="none"/>
          <w:lang w:eastAsia="zh-CN"/>
        </w:rPr>
      </w:pPr>
      <w:r>
        <w:rPr>
          <w:color w:val="auto"/>
          <w:highlight w:val="none"/>
        </w:rPr>
        <w:drawing>
          <wp:inline distT="0" distB="0" distL="114300" distR="114300">
            <wp:extent cx="5756910" cy="3291840"/>
            <wp:effectExtent l="0" t="0" r="15240" b="381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63"/>
                    <a:stretch>
                      <a:fillRect/>
                    </a:stretch>
                  </pic:blipFill>
                  <pic:spPr>
                    <a:xfrm>
                      <a:off x="0" y="0"/>
                      <a:ext cx="5756910" cy="32918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highlight w:val="none"/>
        </w:rPr>
      </w:pPr>
      <w:r>
        <w:rPr>
          <w:color w:val="auto"/>
          <w:highlight w:val="none"/>
        </w:rPr>
        <w:t>图6.3</w:t>
      </w:r>
      <w:r>
        <w:rPr>
          <w:rFonts w:hint="eastAsia"/>
          <w:color w:val="auto"/>
          <w:highlight w:val="none"/>
          <w:lang w:val="en-US" w:eastAsia="zh-CN"/>
        </w:rPr>
        <w:t>.1</w:t>
      </w:r>
      <w:r>
        <w:rPr>
          <w:color w:val="auto"/>
          <w:highlight w:val="none"/>
        </w:rPr>
        <w:t>-1  污水处理工艺流程图</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rFonts w:hint="eastAsia"/>
          <w:b/>
          <w:bCs/>
          <w:color w:val="auto"/>
          <w:highlight w:val="none"/>
        </w:rPr>
        <w:t>6.3.1.1</w:t>
      </w:r>
      <w:r>
        <w:rPr>
          <w:b/>
          <w:bCs/>
          <w:color w:val="auto"/>
          <w:highlight w:val="none"/>
        </w:rPr>
        <w:t>技术可行性分析</w:t>
      </w:r>
    </w:p>
    <w:p>
      <w:pPr>
        <w:bidi w:val="0"/>
        <w:rPr>
          <w:color w:val="auto"/>
          <w:sz w:val="24"/>
          <w:highlight w:val="none"/>
        </w:rPr>
      </w:pPr>
      <w:r>
        <w:rPr>
          <w:color w:val="auto"/>
          <w:sz w:val="24"/>
          <w:highlight w:val="none"/>
        </w:rPr>
        <w:t>工程生产过程中</w:t>
      </w:r>
      <w:r>
        <w:rPr>
          <w:rFonts w:hint="eastAsia"/>
          <w:color w:val="auto"/>
          <w:sz w:val="24"/>
          <w:highlight w:val="none"/>
        </w:rPr>
        <w:t>不含脱墨和漂白工艺，</w:t>
      </w:r>
      <w:r>
        <w:rPr>
          <w:color w:val="auto"/>
          <w:sz w:val="24"/>
          <w:highlight w:val="none"/>
        </w:rPr>
        <w:t>产生的废水主要是斜筛脱水机脱下的水、网下、压榨脱下的水和锅炉排水，本项目</w:t>
      </w:r>
      <w:r>
        <w:rPr>
          <w:rFonts w:hint="eastAsia"/>
          <w:color w:val="auto"/>
          <w:sz w:val="24"/>
          <w:highlight w:val="none"/>
          <w:lang w:val="en-US" w:eastAsia="zh-CN"/>
        </w:rPr>
        <w:t>以漂白针叶木浆和木浆成份纸板为原料，</w:t>
      </w:r>
      <w:r>
        <w:rPr>
          <w:color w:val="auto"/>
          <w:sz w:val="24"/>
          <w:highlight w:val="none"/>
        </w:rPr>
        <w:t>生产废水主要成分为原料带入的细沙、泥土、废渣等无机物</w:t>
      </w:r>
      <w:r>
        <w:rPr>
          <w:rFonts w:hint="eastAsia"/>
          <w:color w:val="auto"/>
          <w:sz w:val="24"/>
          <w:highlight w:val="none"/>
          <w:lang w:val="en-US" w:eastAsia="zh-CN"/>
        </w:rPr>
        <w:t>及部分有机物</w:t>
      </w:r>
      <w:r>
        <w:rPr>
          <w:color w:val="auto"/>
          <w:sz w:val="24"/>
          <w:highlight w:val="none"/>
        </w:rPr>
        <w:t>，</w:t>
      </w:r>
      <w:r>
        <w:rPr>
          <w:rFonts w:hint="eastAsia"/>
          <w:color w:val="auto"/>
          <w:sz w:val="24"/>
          <w:highlight w:val="none"/>
        </w:rPr>
        <w:t>参照《制浆造纸工业污染防止可行技术指南》</w:t>
      </w:r>
      <w:r>
        <w:rPr>
          <w:rFonts w:hint="eastAsia"/>
          <w:color w:val="auto"/>
          <w:sz w:val="24"/>
          <w:highlight w:val="none"/>
          <w:lang w:eastAsia="zh-CN"/>
        </w:rPr>
        <w:t>（</w:t>
      </w:r>
      <w:r>
        <w:rPr>
          <w:rFonts w:hint="eastAsia"/>
          <w:color w:val="auto"/>
          <w:sz w:val="24"/>
          <w:highlight w:val="none"/>
        </w:rPr>
        <w:t>HJ2302-2018）中关于制浆废水中主要</w:t>
      </w:r>
      <w:r>
        <w:rPr>
          <w:color w:val="auto"/>
          <w:sz w:val="24"/>
          <w:highlight w:val="none"/>
        </w:rPr>
        <w:t>污染物浓度</w:t>
      </w:r>
      <w:r>
        <w:rPr>
          <w:rFonts w:hint="eastAsia"/>
          <w:color w:val="auto"/>
          <w:sz w:val="24"/>
          <w:highlight w:val="none"/>
        </w:rPr>
        <w:t>确定本项目污染物浓度</w:t>
      </w:r>
      <w:r>
        <w:rPr>
          <w:color w:val="auto"/>
          <w:sz w:val="24"/>
          <w:highlight w:val="none"/>
        </w:rPr>
        <w:t>：污染物浓度：COD</w:t>
      </w:r>
      <w:r>
        <w:rPr>
          <w:rFonts w:hint="eastAsia"/>
          <w:color w:val="auto"/>
          <w:sz w:val="24"/>
          <w:highlight w:val="none"/>
          <w:lang w:val="en-US" w:eastAsia="zh-CN"/>
        </w:rPr>
        <w:t>2800</w:t>
      </w:r>
      <w:r>
        <w:rPr>
          <w:color w:val="auto"/>
          <w:sz w:val="24"/>
          <w:highlight w:val="none"/>
        </w:rPr>
        <w:t>mg/L</w:t>
      </w:r>
      <w:r>
        <w:rPr>
          <w:rFonts w:hint="eastAsia"/>
          <w:color w:val="auto"/>
          <w:sz w:val="24"/>
          <w:highlight w:val="none"/>
        </w:rPr>
        <w:t>，</w:t>
      </w:r>
      <w:r>
        <w:rPr>
          <w:color w:val="auto"/>
          <w:sz w:val="24"/>
          <w:highlight w:val="none"/>
        </w:rPr>
        <w:t>BOD</w:t>
      </w:r>
      <w:r>
        <w:rPr>
          <w:rFonts w:hint="eastAsia"/>
          <w:color w:val="auto"/>
          <w:sz w:val="24"/>
          <w:highlight w:val="none"/>
          <w:vertAlign w:val="subscript"/>
          <w:lang w:val="en-US" w:eastAsia="zh-CN"/>
        </w:rPr>
        <w:t>5</w:t>
      </w:r>
      <w:r>
        <w:rPr>
          <w:rFonts w:hint="eastAsia"/>
          <w:color w:val="auto"/>
          <w:sz w:val="24"/>
          <w:highlight w:val="none"/>
          <w:lang w:val="en-US" w:eastAsia="zh-CN"/>
        </w:rPr>
        <w:t>800</w:t>
      </w:r>
      <w:r>
        <w:rPr>
          <w:color w:val="auto"/>
          <w:sz w:val="24"/>
          <w:highlight w:val="none"/>
        </w:rPr>
        <w:t>mg/L</w:t>
      </w:r>
      <w:r>
        <w:rPr>
          <w:rFonts w:hint="eastAsia"/>
          <w:color w:val="auto"/>
          <w:sz w:val="24"/>
          <w:highlight w:val="none"/>
        </w:rPr>
        <w:t>，</w:t>
      </w:r>
      <w:r>
        <w:rPr>
          <w:color w:val="auto"/>
          <w:sz w:val="24"/>
          <w:highlight w:val="none"/>
        </w:rPr>
        <w:t>SS</w:t>
      </w:r>
      <w:r>
        <w:rPr>
          <w:rFonts w:hint="eastAsia"/>
          <w:color w:val="auto"/>
          <w:sz w:val="24"/>
          <w:highlight w:val="none"/>
          <w:lang w:val="en-US" w:eastAsia="zh-CN"/>
        </w:rPr>
        <w:t>1500</w:t>
      </w:r>
      <w:r>
        <w:rPr>
          <w:color w:val="auto"/>
          <w:sz w:val="24"/>
          <w:highlight w:val="none"/>
        </w:rPr>
        <w:t>mg/L，</w:t>
      </w:r>
      <w:r>
        <w:rPr>
          <w:rFonts w:hint="eastAsia"/>
          <w:color w:val="auto"/>
          <w:sz w:val="24"/>
          <w:highlight w:val="none"/>
          <w:lang w:val="en-US" w:eastAsia="zh-CN"/>
        </w:rPr>
        <w:t>氨氮5</w:t>
      </w:r>
      <w:r>
        <w:rPr>
          <w:color w:val="auto"/>
          <w:sz w:val="24"/>
          <w:highlight w:val="none"/>
        </w:rPr>
        <w:t>mg/L</w:t>
      </w:r>
      <w:r>
        <w:rPr>
          <w:rFonts w:hint="eastAsia"/>
          <w:color w:val="auto"/>
          <w:sz w:val="24"/>
          <w:highlight w:val="none"/>
          <w:lang w:eastAsia="zh-CN"/>
        </w:rPr>
        <w:t>，</w:t>
      </w:r>
      <w:r>
        <w:rPr>
          <w:color w:val="auto"/>
          <w:sz w:val="24"/>
          <w:highlight w:val="none"/>
        </w:rPr>
        <w:t>故采用</w:t>
      </w:r>
      <w:r>
        <w:rPr>
          <w:rFonts w:hint="eastAsia"/>
          <w:color w:val="auto"/>
          <w:sz w:val="24"/>
          <w:highlight w:val="none"/>
          <w:lang w:val="en-US" w:eastAsia="zh-CN"/>
        </w:rPr>
        <w:t>高效浅层</w:t>
      </w:r>
      <w:r>
        <w:rPr>
          <w:rFonts w:hint="eastAsia"/>
          <w:color w:val="auto"/>
          <w:sz w:val="24"/>
          <w:highlight w:val="none"/>
        </w:rPr>
        <w:t>气浮+A/O生化+</w:t>
      </w:r>
      <w:r>
        <w:rPr>
          <w:rFonts w:hint="eastAsia"/>
          <w:color w:val="auto"/>
          <w:sz w:val="24"/>
          <w:highlight w:val="none"/>
          <w:lang w:val="en-US" w:eastAsia="zh-CN"/>
        </w:rPr>
        <w:t>混凝</w:t>
      </w:r>
      <w:r>
        <w:rPr>
          <w:rFonts w:hint="eastAsia"/>
          <w:color w:val="auto"/>
          <w:sz w:val="24"/>
          <w:highlight w:val="none"/>
        </w:rPr>
        <w:t>沉淀工艺</w:t>
      </w:r>
      <w:r>
        <w:rPr>
          <w:color w:val="auto"/>
          <w:sz w:val="24"/>
          <w:highlight w:val="none"/>
        </w:rPr>
        <w:t>，本项目回用水质要求不高，主要针对悬浮物进行处理，本项目废水经</w:t>
      </w:r>
      <w:r>
        <w:rPr>
          <w:rFonts w:hint="eastAsia"/>
          <w:color w:val="auto"/>
          <w:sz w:val="24"/>
          <w:highlight w:val="none"/>
          <w:lang w:val="en-US" w:eastAsia="zh-CN"/>
        </w:rPr>
        <w:t>高效浅层</w:t>
      </w:r>
      <w:r>
        <w:rPr>
          <w:rFonts w:hint="eastAsia"/>
          <w:color w:val="auto"/>
          <w:sz w:val="24"/>
          <w:highlight w:val="none"/>
        </w:rPr>
        <w:t>气浮+A/O生化+</w:t>
      </w:r>
      <w:r>
        <w:rPr>
          <w:rFonts w:hint="eastAsia"/>
          <w:color w:val="auto"/>
          <w:sz w:val="24"/>
          <w:highlight w:val="none"/>
          <w:lang w:val="en-US" w:eastAsia="zh-CN"/>
        </w:rPr>
        <w:t>混凝</w:t>
      </w:r>
      <w:r>
        <w:rPr>
          <w:rFonts w:hint="eastAsia"/>
          <w:color w:val="auto"/>
          <w:sz w:val="24"/>
          <w:highlight w:val="none"/>
        </w:rPr>
        <w:t>沉淀工艺</w:t>
      </w:r>
      <w:r>
        <w:rPr>
          <w:color w:val="auto"/>
          <w:sz w:val="24"/>
          <w:highlight w:val="none"/>
        </w:rPr>
        <w:t>工段后可以去除大大部分细砂、悬浮物，处理后污染物浓度：COD</w:t>
      </w:r>
      <w:r>
        <w:rPr>
          <w:rFonts w:hint="eastAsia"/>
          <w:color w:val="auto"/>
          <w:sz w:val="24"/>
          <w:highlight w:val="none"/>
          <w:lang w:val="en-US" w:eastAsia="zh-CN"/>
        </w:rPr>
        <w:t>76</w:t>
      </w:r>
      <w:r>
        <w:rPr>
          <w:color w:val="auto"/>
          <w:sz w:val="24"/>
          <w:highlight w:val="none"/>
        </w:rPr>
        <w:t>mg/L</w:t>
      </w:r>
      <w:r>
        <w:rPr>
          <w:rFonts w:hint="eastAsia"/>
          <w:color w:val="auto"/>
          <w:sz w:val="24"/>
          <w:highlight w:val="none"/>
        </w:rPr>
        <w:t>，</w:t>
      </w:r>
      <w:r>
        <w:rPr>
          <w:color w:val="auto"/>
          <w:sz w:val="24"/>
          <w:highlight w:val="none"/>
        </w:rPr>
        <w:t>BOD</w:t>
      </w:r>
      <w:r>
        <w:rPr>
          <w:rFonts w:hint="eastAsia"/>
          <w:color w:val="auto"/>
          <w:sz w:val="24"/>
          <w:highlight w:val="none"/>
          <w:vertAlign w:val="subscript"/>
          <w:lang w:val="en-US" w:eastAsia="zh-CN"/>
        </w:rPr>
        <w:t>5</w:t>
      </w:r>
      <w:r>
        <w:rPr>
          <w:rFonts w:hint="eastAsia"/>
          <w:color w:val="auto"/>
          <w:sz w:val="24"/>
          <w:highlight w:val="none"/>
          <w:lang w:val="en-US" w:eastAsia="zh-CN"/>
        </w:rPr>
        <w:t>20</w:t>
      </w:r>
      <w:r>
        <w:rPr>
          <w:color w:val="auto"/>
          <w:sz w:val="24"/>
          <w:highlight w:val="none"/>
        </w:rPr>
        <w:t>mg/L</w:t>
      </w:r>
      <w:r>
        <w:rPr>
          <w:rFonts w:hint="eastAsia"/>
          <w:color w:val="auto"/>
          <w:sz w:val="24"/>
          <w:highlight w:val="none"/>
        </w:rPr>
        <w:t>，</w:t>
      </w:r>
      <w:r>
        <w:rPr>
          <w:color w:val="auto"/>
          <w:sz w:val="24"/>
          <w:highlight w:val="none"/>
        </w:rPr>
        <w:t>SS</w:t>
      </w:r>
      <w:r>
        <w:rPr>
          <w:rFonts w:hint="eastAsia"/>
          <w:color w:val="auto"/>
          <w:sz w:val="24"/>
          <w:highlight w:val="none"/>
          <w:lang w:val="en-US" w:eastAsia="zh-CN"/>
        </w:rPr>
        <w:t xml:space="preserve"> 29</w:t>
      </w:r>
      <w:r>
        <w:rPr>
          <w:color w:val="auto"/>
          <w:sz w:val="24"/>
          <w:highlight w:val="none"/>
        </w:rPr>
        <w:t>mg/L</w:t>
      </w:r>
      <w:r>
        <w:rPr>
          <w:rFonts w:hint="eastAsia"/>
          <w:color w:val="auto"/>
          <w:sz w:val="24"/>
          <w:highlight w:val="none"/>
        </w:rPr>
        <w:t>，</w:t>
      </w:r>
      <w:r>
        <w:rPr>
          <w:rFonts w:hint="eastAsia"/>
          <w:color w:val="auto"/>
          <w:sz w:val="24"/>
          <w:highlight w:val="none"/>
          <w:lang w:val="en-US" w:eastAsia="zh-CN"/>
        </w:rPr>
        <w:t>氨氮1</w:t>
      </w:r>
      <w:r>
        <w:rPr>
          <w:color w:val="auto"/>
          <w:sz w:val="24"/>
          <w:highlight w:val="none"/>
        </w:rPr>
        <w:t>mg/L</w:t>
      </w:r>
      <w:r>
        <w:rPr>
          <w:rFonts w:hint="eastAsia"/>
          <w:color w:val="auto"/>
          <w:sz w:val="24"/>
          <w:highlight w:val="none"/>
          <w:lang w:eastAsia="zh-CN"/>
        </w:rPr>
        <w:t>，</w:t>
      </w:r>
      <w:r>
        <w:rPr>
          <w:color w:val="auto"/>
          <w:sz w:val="24"/>
          <w:highlight w:val="none"/>
        </w:rPr>
        <w:t>可以满足</w:t>
      </w:r>
      <w:r>
        <w:rPr>
          <w:rFonts w:hint="eastAsia"/>
          <w:color w:val="auto"/>
          <w:sz w:val="24"/>
          <w:highlight w:val="none"/>
        </w:rPr>
        <w:t>本项目</w:t>
      </w:r>
      <w:r>
        <w:rPr>
          <w:color w:val="auto"/>
          <w:sz w:val="24"/>
          <w:highlight w:val="none"/>
        </w:rPr>
        <w:t>回用水质要求</w:t>
      </w:r>
      <w:r>
        <w:rPr>
          <w:rFonts w:hint="eastAsia"/>
          <w:color w:val="auto"/>
          <w:sz w:val="24"/>
          <w:highlight w:val="none"/>
          <w:lang w:eastAsia="zh-CN"/>
        </w:rPr>
        <w:t>。</w:t>
      </w:r>
      <w:r>
        <w:t>根据《制浆造纸废水治理工程技术规范》（</w:t>
      </w:r>
      <w:r>
        <w:rPr>
          <w:rFonts w:ascii="Times New Roman" w:eastAsia="Times New Roman"/>
        </w:rPr>
        <w:t>HJ2011-2012</w:t>
      </w:r>
      <w:r>
        <w:t>）</w:t>
      </w:r>
      <w:r>
        <w:rPr>
          <w:spacing w:val="-10"/>
        </w:rPr>
        <w:t xml:space="preserve">附录 </w:t>
      </w:r>
      <w:r>
        <w:rPr>
          <w:rFonts w:ascii="Times New Roman" w:eastAsia="Times New Roman"/>
        </w:rPr>
        <w:t>B</w:t>
      </w:r>
      <w:r>
        <w:t>、《制浆</w:t>
      </w:r>
      <w:r>
        <w:rPr>
          <w:spacing w:val="-2"/>
        </w:rPr>
        <w:t>造纸工业污染防治可行技术指南》（</w:t>
      </w:r>
      <w:r>
        <w:rPr>
          <w:rFonts w:ascii="Times New Roman" w:eastAsia="Times New Roman"/>
          <w:spacing w:val="-2"/>
        </w:rPr>
        <w:t>HJ2302-2018</w:t>
      </w:r>
      <w:r>
        <w:rPr>
          <w:spacing w:val="-2"/>
        </w:rPr>
        <w:t>），废水经一级处理（</w:t>
      </w:r>
      <w:r>
        <w:rPr>
          <w:rFonts w:hint="eastAsia"/>
          <w:spacing w:val="-2"/>
          <w:lang w:val="en-US" w:eastAsia="zh-CN"/>
        </w:rPr>
        <w:t>高效浅</w:t>
      </w:r>
      <w:r>
        <w:rPr>
          <w:rFonts w:hint="eastAsia"/>
          <w:color w:val="auto"/>
          <w:sz w:val="24"/>
          <w:highlight w:val="none"/>
          <w:lang w:val="en-US" w:eastAsia="zh-CN"/>
        </w:rPr>
        <w:t>层气浮</w:t>
      </w:r>
      <w:r>
        <w:rPr>
          <w:color w:val="auto"/>
          <w:sz w:val="24"/>
          <w:highlight w:val="none"/>
        </w:rPr>
        <w:t>）</w:t>
      </w:r>
      <w:r>
        <w:rPr>
          <w:rFonts w:hint="eastAsia"/>
          <w:color w:val="auto"/>
          <w:sz w:val="24"/>
          <w:highlight w:val="none"/>
          <w:lang w:val="en-US" w:eastAsia="zh-CN"/>
        </w:rPr>
        <w:t>+二级处理（</w:t>
      </w:r>
      <w:r>
        <w:rPr>
          <w:rFonts w:hint="eastAsia"/>
          <w:color w:val="auto"/>
          <w:sz w:val="24"/>
          <w:highlight w:val="none"/>
        </w:rPr>
        <w:t>A/O生化</w:t>
      </w:r>
      <w:r>
        <w:rPr>
          <w:rFonts w:hint="eastAsia"/>
          <w:color w:val="auto"/>
          <w:sz w:val="24"/>
          <w:highlight w:val="none"/>
          <w:lang w:val="en-US" w:eastAsia="zh-CN"/>
        </w:rPr>
        <w:t>）</w:t>
      </w:r>
      <w:r>
        <w:rPr>
          <w:rFonts w:hint="eastAsia"/>
          <w:color w:val="auto"/>
          <w:sz w:val="24"/>
          <w:highlight w:val="none"/>
          <w:lang w:eastAsia="zh-CN"/>
        </w:rPr>
        <w:t>，</w:t>
      </w:r>
      <w:r>
        <w:rPr>
          <w:color w:val="auto"/>
          <w:sz w:val="24"/>
          <w:highlight w:val="none"/>
        </w:rPr>
        <w:t>故从技术角度分析该工艺可行。</w:t>
      </w:r>
    </w:p>
    <w:p>
      <w:pPr>
        <w:bidi w:val="0"/>
        <w:rPr>
          <w:color w:val="auto"/>
          <w:sz w:val="24"/>
          <w:highlight w:val="none"/>
        </w:rPr>
      </w:pPr>
      <w:r>
        <w:rPr>
          <w:color w:val="auto"/>
          <w:sz w:val="24"/>
          <w:highlight w:val="none"/>
        </w:rPr>
        <w:t>表6.3</w:t>
      </w:r>
      <w:r>
        <w:rPr>
          <w:rFonts w:hint="eastAsia"/>
          <w:color w:val="auto"/>
          <w:sz w:val="24"/>
          <w:highlight w:val="none"/>
          <w:lang w:val="en-US" w:eastAsia="zh-CN"/>
        </w:rPr>
        <w:t>.1.1</w:t>
      </w:r>
      <w:r>
        <w:rPr>
          <w:color w:val="auto"/>
          <w:sz w:val="24"/>
          <w:highlight w:val="none"/>
        </w:rPr>
        <w:t>-</w:t>
      </w:r>
      <w:r>
        <w:rPr>
          <w:rFonts w:hint="eastAsia"/>
          <w:color w:val="auto"/>
          <w:sz w:val="24"/>
          <w:highlight w:val="none"/>
          <w:lang w:val="en-US" w:eastAsia="zh-CN"/>
        </w:rPr>
        <w:t>1</w:t>
      </w:r>
      <w:r>
        <w:rPr>
          <w:color w:val="auto"/>
          <w:sz w:val="24"/>
          <w:highlight w:val="none"/>
        </w:rPr>
        <w:t xml:space="preserve">  </w:t>
      </w:r>
      <w:r>
        <w:rPr>
          <w:rFonts w:hint="eastAsia"/>
          <w:color w:val="auto"/>
          <w:sz w:val="24"/>
          <w:highlight w:val="none"/>
          <w:lang w:val="en-US" w:eastAsia="zh-CN"/>
        </w:rPr>
        <w:t xml:space="preserve">            </w:t>
      </w:r>
      <w:r>
        <w:rPr>
          <w:color w:val="auto"/>
          <w:sz w:val="24"/>
          <w:highlight w:val="none"/>
        </w:rPr>
        <w:t>污水处理工艺各工序处理效果</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478"/>
        <w:gridCol w:w="1403"/>
        <w:gridCol w:w="1710"/>
        <w:gridCol w:w="1636"/>
        <w:gridCol w:w="1423"/>
        <w:gridCol w:w="142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587" w:type="pct"/>
            <w:gridSpan w:val="2"/>
            <w:tcBorders>
              <w:left w:val="nil"/>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名称</w:t>
            </w:r>
          </w:p>
        </w:tc>
        <w:tc>
          <w:tcPr>
            <w:tcW w:w="942" w:type="pct"/>
            <w:tcBorders>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highlight w:val="none"/>
              </w:rPr>
            </w:pPr>
            <w:r>
              <w:rPr>
                <w:rFonts w:ascii="Times New Roman" w:hAnsi="Times New Roman" w:eastAsia="宋体" w:cs="Times New Roman"/>
                <w:color w:val="auto"/>
                <w:spacing w:val="0"/>
                <w:w w:val="100"/>
                <w:position w:val="0"/>
                <w:sz w:val="21"/>
                <w:highlight w:val="none"/>
              </w:rPr>
              <w:t>COD</w:t>
            </w:r>
            <w:r>
              <w:rPr>
                <w:rFonts w:ascii="Times New Roman" w:hAnsi="Times New Roman" w:eastAsia="宋体" w:cs="Times New Roman"/>
                <w:color w:val="auto"/>
                <w:spacing w:val="0"/>
                <w:w w:val="100"/>
                <w:position w:val="0"/>
                <w:sz w:val="21"/>
                <w:highlight w:val="none"/>
                <w:vertAlign w:val="subscript"/>
              </w:rPr>
              <w:t>Cr</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mg/L）</w:t>
            </w:r>
          </w:p>
        </w:tc>
        <w:tc>
          <w:tcPr>
            <w:tcW w:w="901" w:type="pct"/>
            <w:tcBorders>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highlight w:val="none"/>
              </w:rPr>
            </w:pPr>
            <w:r>
              <w:rPr>
                <w:rFonts w:ascii="Times New Roman" w:hAnsi="Times New Roman" w:eastAsia="宋体" w:cs="Times New Roman"/>
                <w:color w:val="auto"/>
                <w:spacing w:val="0"/>
                <w:w w:val="100"/>
                <w:position w:val="0"/>
                <w:sz w:val="21"/>
                <w:highlight w:val="none"/>
              </w:rPr>
              <w:t>SS</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mg/L）</w:t>
            </w:r>
          </w:p>
        </w:tc>
        <w:tc>
          <w:tcPr>
            <w:tcW w:w="784" w:type="pct"/>
            <w:tcBorders>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highlight w:val="none"/>
              </w:rPr>
            </w:pPr>
            <w:r>
              <w:rPr>
                <w:rFonts w:ascii="Times New Roman" w:hAnsi="Times New Roman" w:eastAsia="宋体" w:cs="Times New Roman"/>
                <w:color w:val="auto"/>
                <w:spacing w:val="0"/>
                <w:w w:val="100"/>
                <w:position w:val="0"/>
                <w:sz w:val="21"/>
                <w:highlight w:val="none"/>
              </w:rPr>
              <w:t>BOD</w:t>
            </w:r>
            <w:r>
              <w:rPr>
                <w:rFonts w:ascii="Times New Roman" w:hAnsi="Times New Roman" w:eastAsia="宋体" w:cs="Times New Roman"/>
                <w:color w:val="auto"/>
                <w:spacing w:val="0"/>
                <w:w w:val="100"/>
                <w:position w:val="0"/>
                <w:sz w:val="21"/>
                <w:highlight w:val="none"/>
                <w:vertAlign w:val="subscript"/>
              </w:rPr>
              <w:t>5</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mg/L）</w:t>
            </w:r>
          </w:p>
        </w:tc>
        <w:tc>
          <w:tcPr>
            <w:tcW w:w="784" w:type="pct"/>
            <w:tcBorders>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氨氮</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mg/L）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814" w:type="pct"/>
            <w:vMerge w:val="restart"/>
            <w:tcBorders>
              <w:top w:val="single" w:color="000000" w:sz="4" w:space="0"/>
              <w:left w:val="nil"/>
              <w:bottom w:val="single" w:color="000000" w:sz="4" w:space="0"/>
              <w:right w:val="single" w:color="000000" w:sz="4" w:space="0"/>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cs="Times New Roman"/>
                <w:color w:val="auto"/>
                <w:w w:val="100"/>
                <w:sz w:val="21"/>
                <w:highlight w:val="none"/>
                <w:lang w:val="en-US" w:eastAsia="zh-CN"/>
              </w:rPr>
              <w:t>高效浅层</w:t>
            </w:r>
            <w:r>
              <w:rPr>
                <w:rFonts w:hint="eastAsia" w:ascii="Times New Roman" w:hAnsi="Times New Roman" w:eastAsia="宋体" w:cs="Times New Roman"/>
                <w:color w:val="auto"/>
                <w:w w:val="100"/>
                <w:sz w:val="21"/>
                <w:highlight w:val="none"/>
                <w:lang w:eastAsia="zh-CN"/>
              </w:rPr>
              <w:t>气浮</w:t>
            </w: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进水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2800</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1600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800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出水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1013</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highlight w:val="none"/>
              </w:rPr>
            </w:pPr>
            <w:r>
              <w:rPr>
                <w:rFonts w:ascii="Times New Roman" w:hAnsi="Times New Roman" w:eastAsia="宋体" w:cs="Times New Roman"/>
                <w:color w:val="auto"/>
                <w:spacing w:val="0"/>
                <w:w w:val="100"/>
                <w:position w:val="0"/>
                <w:sz w:val="21"/>
                <w:highlight w:val="none"/>
              </w:rPr>
              <w:t>288</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400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去除率</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hint="eastAsia" w:ascii="Times New Roman" w:hAnsi="Times New Roman" w:cs="Times New Roman"/>
                <w:color w:val="auto"/>
                <w:spacing w:val="0"/>
                <w:w w:val="100"/>
                <w:position w:val="0"/>
                <w:sz w:val="21"/>
                <w:highlight w:val="none"/>
                <w:lang w:val="en-US" w:eastAsia="zh-CN"/>
              </w:rPr>
              <w:t>64</w:t>
            </w:r>
            <w:r>
              <w:rPr>
                <w:rFonts w:ascii="Times New Roman" w:hAnsi="Times New Roman" w:eastAsia="宋体" w:cs="Times New Roman"/>
                <w:color w:val="auto"/>
                <w:spacing w:val="0"/>
                <w:w w:val="100"/>
                <w:position w:val="0"/>
                <w:sz w:val="21"/>
                <w:highlight w:val="none"/>
              </w:rPr>
              <w:t>%</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82%</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50%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814" w:type="pct"/>
            <w:vMerge w:val="restart"/>
            <w:tcBorders>
              <w:top w:val="single" w:color="000000" w:sz="4" w:space="0"/>
              <w:left w:val="nil"/>
              <w:bottom w:val="single" w:color="000000" w:sz="4" w:space="0"/>
              <w:right w:val="single" w:color="000000" w:sz="4" w:space="0"/>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w w:val="100"/>
                <w:sz w:val="21"/>
                <w:highlight w:val="none"/>
              </w:rPr>
              <w:t>A/O生化</w:t>
            </w: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进水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1013</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288</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400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出水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304</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193</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160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去除率</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hint="eastAsia" w:ascii="Times New Roman" w:hAnsi="Times New Roman" w:cs="Times New Roman"/>
                <w:color w:val="auto"/>
                <w:spacing w:val="0"/>
                <w:w w:val="100"/>
                <w:position w:val="0"/>
                <w:sz w:val="21"/>
                <w:highlight w:val="none"/>
                <w:lang w:val="en-US" w:eastAsia="zh-CN"/>
              </w:rPr>
              <w:t>70</w:t>
            </w:r>
            <w:r>
              <w:rPr>
                <w:rFonts w:ascii="Times New Roman" w:hAnsi="Times New Roman" w:eastAsia="宋体" w:cs="Times New Roman"/>
                <w:color w:val="auto"/>
                <w:spacing w:val="0"/>
                <w:w w:val="100"/>
                <w:position w:val="0"/>
                <w:sz w:val="21"/>
                <w:highlight w:val="none"/>
              </w:rPr>
              <w:t>%</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33%</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hint="eastAsia" w:ascii="Times New Roman" w:hAnsi="Times New Roman" w:cs="Times New Roman"/>
                <w:color w:val="auto"/>
                <w:spacing w:val="0"/>
                <w:w w:val="100"/>
                <w:position w:val="0"/>
                <w:sz w:val="21"/>
                <w:highlight w:val="none"/>
                <w:lang w:val="en-US" w:eastAsia="zh-CN"/>
              </w:rPr>
              <w:t>60</w:t>
            </w:r>
            <w:r>
              <w:rPr>
                <w:rFonts w:ascii="Times New Roman" w:hAnsi="Times New Roman" w:eastAsia="宋体" w:cs="Times New Roman"/>
                <w:color w:val="auto"/>
                <w:spacing w:val="0"/>
                <w:w w:val="100"/>
                <w:position w:val="0"/>
                <w:sz w:val="21"/>
                <w:highlight w:val="none"/>
              </w:rPr>
              <w:t>%</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814" w:type="pct"/>
            <w:vMerge w:val="restart"/>
            <w:tcBorders>
              <w:top w:val="single" w:color="000000" w:sz="4" w:space="0"/>
              <w:left w:val="nil"/>
              <w:bottom w:val="single" w:color="000000" w:sz="4" w:space="0"/>
              <w:right w:val="single" w:color="000000" w:sz="4" w:space="0"/>
            </w:tcBorders>
            <w:vAlign w:val="center"/>
          </w:tcPr>
          <w:p>
            <w:pPr>
              <w:pStyle w:val="31"/>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cs="Times New Roman"/>
                <w:color w:val="auto"/>
                <w:w w:val="100"/>
                <w:sz w:val="21"/>
                <w:highlight w:val="none"/>
                <w:lang w:val="en-US" w:eastAsia="zh-CN"/>
              </w:rPr>
              <w:t>混凝</w:t>
            </w:r>
            <w:r>
              <w:rPr>
                <w:rFonts w:hint="eastAsia" w:ascii="Times New Roman" w:hAnsi="Times New Roman" w:eastAsia="宋体" w:cs="Times New Roman"/>
                <w:color w:val="auto"/>
                <w:w w:val="100"/>
                <w:sz w:val="21"/>
                <w:highlight w:val="none"/>
                <w:lang w:eastAsia="zh-CN"/>
              </w:rPr>
              <w:t>沉淀</w:t>
            </w: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进水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304</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193</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160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5"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出水</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76</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29</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20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8" w:hRule="atLeast"/>
        </w:trPr>
        <w:tc>
          <w:tcPr>
            <w:tcW w:w="814" w:type="pct"/>
            <w:vMerge w:val="continue"/>
            <w:tcBorders>
              <w:top w:val="nil"/>
              <w:left w:val="nil"/>
              <w:bottom w:val="single" w:color="000000" w:sz="4" w:space="0"/>
              <w:right w:val="single" w:color="000000" w:sz="4" w:space="0"/>
            </w:tcBorders>
          </w:tcPr>
          <w:p>
            <w:pPr>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ascii="Times New Roman" w:hAnsi="Times New Roman" w:eastAsia="宋体" w:cs="Times New Roman"/>
                <w:color w:val="auto"/>
                <w:spacing w:val="0"/>
                <w:w w:val="100"/>
                <w:position w:val="0"/>
                <w:sz w:val="21"/>
                <w:szCs w:val="2"/>
                <w:highlight w:val="none"/>
              </w:rPr>
            </w:pPr>
          </w:p>
        </w:tc>
        <w:tc>
          <w:tcPr>
            <w:tcW w:w="773"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rPr>
            </w:pPr>
            <w:r>
              <w:rPr>
                <w:rFonts w:hint="eastAsia" w:ascii="Times New Roman" w:hAnsi="Times New Roman" w:eastAsia="宋体" w:cs="Times New Roman"/>
                <w:color w:val="auto"/>
                <w:spacing w:val="0"/>
                <w:w w:val="100"/>
                <w:position w:val="0"/>
                <w:sz w:val="21"/>
                <w:highlight w:val="none"/>
              </w:rPr>
              <w:t>去除率</w:t>
            </w:r>
          </w:p>
        </w:tc>
        <w:tc>
          <w:tcPr>
            <w:tcW w:w="942"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hint="eastAsia" w:ascii="Times New Roman" w:hAnsi="Times New Roman" w:cs="Times New Roman"/>
                <w:color w:val="auto"/>
                <w:spacing w:val="0"/>
                <w:w w:val="100"/>
                <w:position w:val="0"/>
                <w:sz w:val="21"/>
                <w:highlight w:val="none"/>
                <w:lang w:val="en-US" w:eastAsia="zh-CN"/>
              </w:rPr>
              <w:t>75</w:t>
            </w:r>
            <w:r>
              <w:rPr>
                <w:rFonts w:ascii="Times New Roman" w:hAnsi="Times New Roman" w:eastAsia="宋体" w:cs="Times New Roman"/>
                <w:color w:val="auto"/>
                <w:spacing w:val="0"/>
                <w:w w:val="100"/>
                <w:position w:val="0"/>
                <w:sz w:val="21"/>
                <w:highlight w:val="none"/>
              </w:rPr>
              <w:t>%</w:t>
            </w:r>
          </w:p>
        </w:tc>
        <w:tc>
          <w:tcPr>
            <w:tcW w:w="901" w:type="pct"/>
            <w:tcBorders>
              <w:top w:val="single" w:color="000000" w:sz="4" w:space="0"/>
              <w:left w:val="single" w:color="000000" w:sz="4" w:space="0"/>
              <w:bottom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70%</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hint="eastAsia" w:ascii="Times New Roman" w:hAnsi="Times New Roman" w:cs="Times New Roman"/>
                <w:color w:val="auto"/>
                <w:spacing w:val="0"/>
                <w:w w:val="100"/>
                <w:position w:val="0"/>
                <w:sz w:val="21"/>
                <w:highlight w:val="none"/>
                <w:lang w:val="en-US" w:eastAsia="zh-CN"/>
              </w:rPr>
              <w:t>87</w:t>
            </w:r>
            <w:r>
              <w:rPr>
                <w:rFonts w:ascii="Times New Roman" w:hAnsi="Times New Roman" w:eastAsia="宋体" w:cs="Times New Roman"/>
                <w:color w:val="auto"/>
                <w:spacing w:val="0"/>
                <w:w w:val="100"/>
                <w:position w:val="0"/>
                <w:sz w:val="21"/>
                <w:highlight w:val="none"/>
              </w:rPr>
              <w:t>%</w:t>
            </w:r>
          </w:p>
        </w:tc>
        <w:tc>
          <w:tcPr>
            <w:tcW w:w="784" w:type="pct"/>
            <w:tcBorders>
              <w:top w:val="single" w:color="000000" w:sz="4" w:space="0"/>
              <w:left w:val="single" w:color="000000" w:sz="4" w:space="0"/>
              <w:bottom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587" w:type="pct"/>
            <w:gridSpan w:val="2"/>
            <w:tcBorders>
              <w:top w:val="single" w:color="000000" w:sz="4" w:space="0"/>
              <w:left w:val="nil"/>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default"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污染物排放水平</w:t>
            </w:r>
          </w:p>
        </w:tc>
        <w:tc>
          <w:tcPr>
            <w:tcW w:w="942" w:type="pct"/>
            <w:tcBorders>
              <w:top w:val="single" w:color="000000" w:sz="4" w:space="0"/>
              <w:left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80</w:t>
            </w:r>
          </w:p>
        </w:tc>
        <w:tc>
          <w:tcPr>
            <w:tcW w:w="901" w:type="pct"/>
            <w:tcBorders>
              <w:top w:val="single" w:color="000000" w:sz="4" w:space="0"/>
              <w:left w:val="single" w:color="000000" w:sz="4" w:space="0"/>
              <w:right w:val="single" w:color="000000" w:sz="4" w:space="0"/>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30</w:t>
            </w:r>
          </w:p>
        </w:tc>
        <w:tc>
          <w:tcPr>
            <w:tcW w:w="784" w:type="pct"/>
            <w:tcBorders>
              <w:top w:val="single" w:color="000000" w:sz="4" w:space="0"/>
              <w:left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eastAsia="zh-CN"/>
              </w:rPr>
            </w:pPr>
            <w:r>
              <w:rPr>
                <w:rFonts w:ascii="Times New Roman" w:hAnsi="Times New Roman" w:eastAsia="宋体" w:cs="Times New Roman"/>
                <w:color w:val="auto"/>
                <w:spacing w:val="0"/>
                <w:w w:val="100"/>
                <w:position w:val="0"/>
                <w:sz w:val="21"/>
                <w:highlight w:val="none"/>
              </w:rPr>
              <w:t>20</w:t>
            </w:r>
          </w:p>
        </w:tc>
        <w:tc>
          <w:tcPr>
            <w:tcW w:w="784" w:type="pct"/>
            <w:tcBorders>
              <w:top w:val="single" w:color="000000" w:sz="4" w:space="0"/>
              <w:left w:val="single" w:color="000000" w:sz="4" w:space="0"/>
              <w:right w:val="nil"/>
            </w:tcBorders>
          </w:tcPr>
          <w:p>
            <w:pPr>
              <w:pStyle w:val="36"/>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textAlignment w:val="auto"/>
              <w:rPr>
                <w:rFonts w:hint="eastAsia" w:ascii="Times New Roman" w:hAnsi="Times New Roman" w:eastAsia="宋体" w:cs="Times New Roman"/>
                <w:color w:val="auto"/>
                <w:spacing w:val="0"/>
                <w:w w:val="100"/>
                <w:position w:val="0"/>
                <w:sz w:val="21"/>
                <w:highlight w:val="none"/>
                <w:lang w:val="en-US" w:eastAsia="zh-CN"/>
              </w:rPr>
            </w:pPr>
            <w:r>
              <w:rPr>
                <w:rFonts w:hint="eastAsia" w:ascii="Times New Roman" w:hAnsi="Times New Roman" w:cs="Times New Roman"/>
                <w:color w:val="auto"/>
                <w:spacing w:val="0"/>
                <w:w w:val="100"/>
                <w:position w:val="0"/>
                <w:sz w:val="21"/>
                <w:highlight w:val="none"/>
                <w:lang w:val="en-US" w:eastAsia="zh-CN"/>
              </w:rPr>
              <w:t>8</w:t>
            </w:r>
          </w:p>
        </w:tc>
      </w:tr>
    </w:tbl>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rFonts w:hint="eastAsia"/>
          <w:b/>
          <w:bCs/>
          <w:color w:val="auto"/>
          <w:highlight w:val="none"/>
        </w:rPr>
        <w:t>6.3.1.2</w:t>
      </w:r>
      <w:r>
        <w:rPr>
          <w:b/>
          <w:bCs/>
          <w:color w:val="auto"/>
          <w:highlight w:val="none"/>
        </w:rPr>
        <w:t>处理能力分析</w:t>
      </w:r>
    </w:p>
    <w:p>
      <w:pPr>
        <w:bidi w:val="0"/>
        <w:rPr>
          <w:color w:val="auto"/>
          <w:highlight w:val="none"/>
        </w:rPr>
      </w:pPr>
      <w:r>
        <w:rPr>
          <w:color w:val="auto"/>
          <w:highlight w:val="none"/>
        </w:rPr>
        <w:t>工程生产过程中产生的废水主要是斜筛脱水机脱下的水、网下、压榨脱下的水</w:t>
      </w:r>
      <w:r>
        <w:rPr>
          <w:rFonts w:hint="eastAsia"/>
          <w:color w:val="auto"/>
          <w:highlight w:val="none"/>
          <w:lang w:eastAsia="zh-CN"/>
        </w:rPr>
        <w:t>、</w:t>
      </w:r>
      <w:r>
        <w:rPr>
          <w:color w:val="auto"/>
          <w:highlight w:val="none"/>
        </w:rPr>
        <w:t>锅炉排水</w:t>
      </w:r>
      <w:r>
        <w:rPr>
          <w:rFonts w:hint="eastAsia"/>
          <w:color w:val="auto"/>
          <w:highlight w:val="none"/>
          <w:lang w:eastAsia="zh-CN"/>
        </w:rPr>
        <w:t>及生活污水</w:t>
      </w:r>
      <w:r>
        <w:rPr>
          <w:color w:val="auto"/>
          <w:highlight w:val="none"/>
        </w:rPr>
        <w:t>，合计水量</w:t>
      </w:r>
      <w:r>
        <w:rPr>
          <w:rFonts w:hint="eastAsia"/>
          <w:color w:val="auto"/>
          <w:highlight w:val="none"/>
          <w:lang w:val="en-US" w:eastAsia="zh-CN"/>
        </w:rPr>
        <w:t>917.18</w:t>
      </w:r>
      <w:r>
        <w:rPr>
          <w:color w:val="auto"/>
          <w:highlight w:val="none"/>
        </w:rPr>
        <w:t>m</w:t>
      </w:r>
      <w:r>
        <w:rPr>
          <w:color w:val="auto"/>
          <w:highlight w:val="none"/>
          <w:vertAlign w:val="superscript"/>
        </w:rPr>
        <w:t>3</w:t>
      </w:r>
      <w:r>
        <w:rPr>
          <w:color w:val="auto"/>
          <w:highlight w:val="none"/>
        </w:rPr>
        <w:t>/d</w:t>
      </w:r>
      <w:r>
        <w:rPr>
          <w:rFonts w:hint="eastAsia"/>
          <w:color w:val="auto"/>
          <w:highlight w:val="none"/>
          <w:lang w:eastAsia="zh-CN"/>
        </w:rPr>
        <w:t>（</w:t>
      </w:r>
      <w:r>
        <w:rPr>
          <w:rFonts w:hint="eastAsia"/>
          <w:color w:val="auto"/>
          <w:highlight w:val="none"/>
          <w:lang w:val="en-US" w:eastAsia="zh-CN"/>
        </w:rPr>
        <w:t>302669.4</w:t>
      </w:r>
      <w:r>
        <w:rPr>
          <w:color w:val="auto"/>
          <w:highlight w:val="none"/>
        </w:rPr>
        <w:t>m</w:t>
      </w:r>
      <w:r>
        <w:rPr>
          <w:color w:val="auto"/>
          <w:highlight w:val="none"/>
          <w:vertAlign w:val="superscript"/>
        </w:rPr>
        <w:t>3</w:t>
      </w:r>
      <w:r>
        <w:rPr>
          <w:color w:val="auto"/>
          <w:highlight w:val="none"/>
        </w:rPr>
        <w:t>/a</w:t>
      </w:r>
      <w:r>
        <w:rPr>
          <w:rFonts w:hint="eastAsia"/>
          <w:color w:val="auto"/>
          <w:highlight w:val="none"/>
          <w:lang w:eastAsia="zh-CN"/>
        </w:rPr>
        <w:t>）</w:t>
      </w:r>
      <w:r>
        <w:rPr>
          <w:color w:val="auto"/>
          <w:highlight w:val="none"/>
        </w:rPr>
        <w:t>，本项目污水处理站循环处理能力为</w:t>
      </w:r>
      <w:r>
        <w:rPr>
          <w:rFonts w:hint="eastAsia"/>
          <w:color w:val="auto"/>
          <w:highlight w:val="none"/>
          <w:lang w:val="en-US" w:eastAsia="zh-CN"/>
        </w:rPr>
        <w:t>960</w:t>
      </w:r>
      <w:r>
        <w:rPr>
          <w:color w:val="auto"/>
          <w:highlight w:val="none"/>
        </w:rPr>
        <w:t>t/d，设</w:t>
      </w:r>
      <w:r>
        <w:rPr>
          <w:rFonts w:hint="eastAsia"/>
          <w:color w:val="auto"/>
          <w:highlight w:val="none"/>
          <w:lang w:eastAsia="zh-CN"/>
        </w:rPr>
        <w:t>三</w:t>
      </w:r>
      <w:r>
        <w:rPr>
          <w:color w:val="auto"/>
          <w:highlight w:val="none"/>
        </w:rPr>
        <w:t>座</w:t>
      </w:r>
      <w:r>
        <w:rPr>
          <w:rFonts w:hint="eastAsia"/>
          <w:color w:val="auto"/>
          <w:highlight w:val="none"/>
          <w:lang w:eastAsia="zh-CN"/>
        </w:rPr>
        <w:t>污水</w:t>
      </w:r>
      <w:r>
        <w:rPr>
          <w:color w:val="auto"/>
          <w:highlight w:val="none"/>
        </w:rPr>
        <w:t>池、</w:t>
      </w:r>
      <w:r>
        <w:rPr>
          <w:rFonts w:hint="eastAsia"/>
          <w:color w:val="auto"/>
          <w:highlight w:val="none"/>
          <w:lang w:eastAsia="zh-CN"/>
        </w:rPr>
        <w:t>一座曝气池</w:t>
      </w:r>
      <w:r>
        <w:rPr>
          <w:color w:val="auto"/>
          <w:highlight w:val="none"/>
        </w:rPr>
        <w:t>，</w:t>
      </w:r>
      <w:r>
        <w:rPr>
          <w:rFonts w:hint="eastAsia"/>
          <w:color w:val="auto"/>
          <w:highlight w:val="none"/>
          <w:lang w:eastAsia="zh-CN"/>
        </w:rPr>
        <w:t>两</w:t>
      </w:r>
      <w:r>
        <w:rPr>
          <w:rFonts w:hint="eastAsia"/>
          <w:color w:val="auto"/>
          <w:highlight w:val="none"/>
          <w:lang w:val="en-US" w:eastAsia="zh-CN"/>
        </w:rPr>
        <w:t>座沉淀池</w:t>
      </w:r>
      <w:r>
        <w:rPr>
          <w:color w:val="auto"/>
          <w:highlight w:val="none"/>
        </w:rPr>
        <w:t>。本项目废水量约</w:t>
      </w:r>
      <w:r>
        <w:rPr>
          <w:rFonts w:hint="eastAsia"/>
          <w:color w:val="auto"/>
          <w:highlight w:val="none"/>
          <w:lang w:val="en-US" w:eastAsia="zh-CN"/>
        </w:rPr>
        <w:t>38.26</w:t>
      </w:r>
      <w:r>
        <w:rPr>
          <w:color w:val="auto"/>
          <w:highlight w:val="none"/>
        </w:rPr>
        <w:t>m</w:t>
      </w:r>
      <w:r>
        <w:rPr>
          <w:color w:val="auto"/>
          <w:highlight w:val="none"/>
          <w:vertAlign w:val="superscript"/>
        </w:rPr>
        <w:t>3</w:t>
      </w:r>
      <w:r>
        <w:rPr>
          <w:color w:val="auto"/>
          <w:highlight w:val="none"/>
        </w:rPr>
        <w:t>/h，本项目设计沉淀时间为2小时，故</w:t>
      </w:r>
      <w:r>
        <w:rPr>
          <w:rFonts w:hint="eastAsia"/>
          <w:color w:val="auto"/>
          <w:highlight w:val="none"/>
          <w:lang w:val="en-US" w:eastAsia="zh-CN"/>
        </w:rPr>
        <w:t>污水池</w:t>
      </w:r>
      <w:r>
        <w:rPr>
          <w:color w:val="auto"/>
          <w:highlight w:val="none"/>
        </w:rPr>
        <w:t>、沉淀池容积均应大于2个小时污水贮存能力，即</w:t>
      </w:r>
      <w:r>
        <w:rPr>
          <w:rFonts w:hint="eastAsia"/>
          <w:color w:val="auto"/>
          <w:highlight w:val="none"/>
          <w:lang w:val="en-US" w:eastAsia="zh-CN"/>
        </w:rPr>
        <w:t>76.52</w:t>
      </w:r>
      <w:r>
        <w:rPr>
          <w:color w:val="auto"/>
          <w:highlight w:val="none"/>
        </w:rPr>
        <w:t>m</w:t>
      </w:r>
      <w:r>
        <w:rPr>
          <w:color w:val="auto"/>
          <w:highlight w:val="none"/>
          <w:vertAlign w:val="superscript"/>
        </w:rPr>
        <w:t>3</w:t>
      </w:r>
      <w:r>
        <w:rPr>
          <w:color w:val="auto"/>
          <w:highlight w:val="none"/>
        </w:rPr>
        <w:t>，本项目</w:t>
      </w:r>
      <w:r>
        <w:rPr>
          <w:rFonts w:hint="eastAsia"/>
          <w:color w:val="auto"/>
          <w:highlight w:val="none"/>
          <w:lang w:eastAsia="zh-CN"/>
        </w:rPr>
        <w:t>污水</w:t>
      </w:r>
      <w:r>
        <w:rPr>
          <w:color w:val="auto"/>
          <w:highlight w:val="none"/>
        </w:rPr>
        <w:t>池容积</w:t>
      </w:r>
      <w:r>
        <w:rPr>
          <w:rFonts w:hint="eastAsia"/>
          <w:color w:val="auto"/>
          <w:highlight w:val="none"/>
          <w:lang w:val="en-US" w:eastAsia="zh-CN"/>
        </w:rPr>
        <w:t>120</w:t>
      </w:r>
      <w:r>
        <w:rPr>
          <w:color w:val="auto"/>
          <w:highlight w:val="none"/>
        </w:rPr>
        <w:t>m</w:t>
      </w:r>
      <w:r>
        <w:rPr>
          <w:color w:val="auto"/>
          <w:highlight w:val="none"/>
          <w:vertAlign w:val="superscript"/>
        </w:rPr>
        <w:t>3</w:t>
      </w:r>
      <w:r>
        <w:rPr>
          <w:rFonts w:hint="eastAsia"/>
          <w:color w:val="auto"/>
          <w:highlight w:val="none"/>
          <w:lang w:eastAsia="zh-CN"/>
        </w:rPr>
        <w:t>一座</w:t>
      </w:r>
      <w:r>
        <w:rPr>
          <w:color w:val="auto"/>
          <w:highlight w:val="none"/>
        </w:rPr>
        <w:t>，可以满足集水要求，本项目沉淀</w:t>
      </w:r>
      <w:r>
        <w:rPr>
          <w:rFonts w:hint="eastAsia"/>
          <w:color w:val="auto"/>
          <w:highlight w:val="none"/>
          <w:lang w:eastAsia="zh-CN"/>
        </w:rPr>
        <w:t>池</w:t>
      </w:r>
      <w:r>
        <w:rPr>
          <w:color w:val="auto"/>
          <w:highlight w:val="none"/>
        </w:rPr>
        <w:t>单个</w:t>
      </w:r>
      <w:r>
        <w:rPr>
          <w:rFonts w:hint="eastAsia"/>
          <w:color w:val="auto"/>
          <w:highlight w:val="none"/>
          <w:lang w:eastAsia="zh-CN"/>
        </w:rPr>
        <w:t>容积</w:t>
      </w:r>
      <w:r>
        <w:rPr>
          <w:rFonts w:hint="eastAsia"/>
          <w:color w:val="auto"/>
          <w:highlight w:val="none"/>
          <w:lang w:val="en-US" w:eastAsia="zh-CN"/>
        </w:rPr>
        <w:t>50</w:t>
      </w:r>
      <w:r>
        <w:rPr>
          <w:color w:val="auto"/>
          <w:highlight w:val="none"/>
        </w:rPr>
        <w:t>m</w:t>
      </w:r>
      <w:r>
        <w:rPr>
          <w:color w:val="auto"/>
          <w:highlight w:val="none"/>
          <w:vertAlign w:val="superscript"/>
        </w:rPr>
        <w:t>3</w:t>
      </w:r>
      <w:r>
        <w:rPr>
          <w:color w:val="auto"/>
          <w:highlight w:val="none"/>
        </w:rPr>
        <w:t>，可满足沉淀需求。</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6.3.1.3废水回用及零排放可行性分析</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根据造纸生产工艺，碎浆、调浆工序中的回用水，对SS的要求较高，而对COD的要求不高。如碎浆、调浆用水，一般要求SS＜30mg/L，COD＜200</w:t>
      </w:r>
      <w:r>
        <w:rPr>
          <w:rFonts w:hint="eastAsia"/>
          <w:color w:val="auto"/>
          <w:sz w:val="24"/>
          <w:highlight w:val="none"/>
        </w:rPr>
        <w:t>mg</w:t>
      </w:r>
      <w:r>
        <w:rPr>
          <w:color w:val="auto"/>
          <w:sz w:val="24"/>
          <w:highlight w:val="none"/>
        </w:rPr>
        <w:t>/L。</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根据前文分析，项目污水处理工艺出水污COD</w:t>
      </w:r>
      <w:r>
        <w:rPr>
          <w:rFonts w:hint="eastAsia"/>
          <w:color w:val="auto"/>
          <w:sz w:val="24"/>
          <w:highlight w:val="none"/>
          <w:lang w:val="en-US" w:eastAsia="zh-CN"/>
        </w:rPr>
        <w:t>76</w:t>
      </w:r>
      <w:r>
        <w:rPr>
          <w:color w:val="auto"/>
          <w:sz w:val="24"/>
          <w:highlight w:val="none"/>
        </w:rPr>
        <w:t>mg/L</w:t>
      </w:r>
      <w:r>
        <w:rPr>
          <w:rFonts w:hint="eastAsia"/>
          <w:color w:val="auto"/>
          <w:sz w:val="24"/>
          <w:highlight w:val="none"/>
        </w:rPr>
        <w:t>，</w:t>
      </w:r>
      <w:r>
        <w:rPr>
          <w:color w:val="auto"/>
          <w:sz w:val="24"/>
          <w:highlight w:val="none"/>
        </w:rPr>
        <w:t>BOD</w:t>
      </w:r>
      <w:r>
        <w:rPr>
          <w:rFonts w:hint="eastAsia"/>
          <w:color w:val="auto"/>
          <w:sz w:val="24"/>
          <w:highlight w:val="none"/>
          <w:vertAlign w:val="subscript"/>
          <w:lang w:val="en-US" w:eastAsia="zh-CN"/>
        </w:rPr>
        <w:t>5</w:t>
      </w:r>
      <w:r>
        <w:rPr>
          <w:rFonts w:hint="eastAsia"/>
          <w:color w:val="auto"/>
          <w:sz w:val="24"/>
          <w:highlight w:val="none"/>
          <w:lang w:val="en-US" w:eastAsia="zh-CN"/>
        </w:rPr>
        <w:t>20</w:t>
      </w:r>
      <w:r>
        <w:rPr>
          <w:color w:val="auto"/>
          <w:sz w:val="24"/>
          <w:highlight w:val="none"/>
        </w:rPr>
        <w:t>mg/L</w:t>
      </w:r>
      <w:r>
        <w:rPr>
          <w:rFonts w:hint="eastAsia"/>
          <w:color w:val="auto"/>
          <w:sz w:val="24"/>
          <w:highlight w:val="none"/>
        </w:rPr>
        <w:t>，</w:t>
      </w:r>
      <w:r>
        <w:rPr>
          <w:color w:val="auto"/>
          <w:sz w:val="24"/>
          <w:highlight w:val="none"/>
        </w:rPr>
        <w:t>SS</w:t>
      </w:r>
      <w:r>
        <w:rPr>
          <w:rFonts w:hint="eastAsia"/>
          <w:color w:val="auto"/>
          <w:sz w:val="24"/>
          <w:highlight w:val="none"/>
          <w:lang w:val="en-US" w:eastAsia="zh-CN"/>
        </w:rPr>
        <w:t>29</w:t>
      </w:r>
      <w:r>
        <w:rPr>
          <w:color w:val="auto"/>
          <w:sz w:val="24"/>
          <w:highlight w:val="none"/>
        </w:rPr>
        <w:t>mg/L，均可满足造纸生产工艺中回用水质要求，且项目产品主要为</w:t>
      </w:r>
      <w:r>
        <w:rPr>
          <w:rFonts w:hint="eastAsia"/>
          <w:color w:val="auto"/>
          <w:sz w:val="24"/>
          <w:highlight w:val="none"/>
          <w:lang w:eastAsia="zh-CN"/>
        </w:rPr>
        <w:t>薄页纸、特种纸、纸板</w:t>
      </w:r>
      <w:r>
        <w:rPr>
          <w:color w:val="auto"/>
          <w:sz w:val="24"/>
          <w:highlight w:val="none"/>
        </w:rPr>
        <w:t>，对</w:t>
      </w:r>
      <w:r>
        <w:rPr>
          <w:rFonts w:hint="eastAsia"/>
          <w:color w:val="auto"/>
          <w:sz w:val="24"/>
          <w:highlight w:val="none"/>
        </w:rPr>
        <w:t>回用</w:t>
      </w:r>
      <w:r>
        <w:rPr>
          <w:color w:val="auto"/>
          <w:sz w:val="24"/>
          <w:highlight w:val="none"/>
        </w:rPr>
        <w:t>水质要求较低</w:t>
      </w:r>
      <w:r>
        <w:rPr>
          <w:rFonts w:hint="eastAsia"/>
          <w:color w:val="auto"/>
          <w:sz w:val="24"/>
          <w:highlight w:val="none"/>
        </w:rPr>
        <w:t>。</w:t>
      </w:r>
      <w:r>
        <w:rPr>
          <w:color w:val="auto"/>
          <w:sz w:val="24"/>
          <w:highlight w:val="none"/>
        </w:rPr>
        <w:t>因此，项目采取的污水处理是可行的，处理后水回用到生产工序实现零排放是可行的。</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rFonts w:hint="eastAsia"/>
          <w:color w:val="auto"/>
          <w:sz w:val="24"/>
          <w:highlight w:val="none"/>
        </w:rPr>
        <w:t>如遇到污水处理站设备故障，要求建设单位立即停止生产，生产废水将暂存在</w:t>
      </w:r>
      <w:r>
        <w:rPr>
          <w:rFonts w:hint="eastAsia"/>
          <w:color w:val="auto"/>
          <w:sz w:val="24"/>
          <w:highlight w:val="none"/>
          <w:lang w:val="en-US" w:eastAsia="zh-CN"/>
        </w:rPr>
        <w:t>污水池、曝气池、沉淀池、事故池</w:t>
      </w:r>
      <w:r>
        <w:rPr>
          <w:rFonts w:hint="eastAsia"/>
          <w:color w:val="auto"/>
          <w:sz w:val="24"/>
          <w:highlight w:val="none"/>
        </w:rPr>
        <w:t>中，待污水处理设施正常运行后方可恢复生产。</w:t>
      </w:r>
    </w:p>
    <w:p>
      <w:pPr>
        <w:keepNext w:val="0"/>
        <w:keepLines w:val="0"/>
        <w:pageBreakBefore w:val="0"/>
        <w:widowControl w:val="0"/>
        <w:kinsoku/>
        <w:wordWrap/>
        <w:overflowPunct/>
        <w:topLinePunct w:val="0"/>
        <w:autoSpaceDE/>
        <w:autoSpaceDN/>
        <w:bidi w:val="0"/>
        <w:adjustRightInd/>
        <w:snapToGrid/>
        <w:textAlignment w:val="auto"/>
        <w:rPr>
          <w:color w:val="auto"/>
          <w:sz w:val="24"/>
          <w:highlight w:val="none"/>
        </w:rPr>
      </w:pPr>
      <w:r>
        <w:rPr>
          <w:color w:val="auto"/>
          <w:sz w:val="24"/>
          <w:highlight w:val="none"/>
        </w:rPr>
        <w:t>综上所述，本项目处理后的水完全可达到回用要求，从水量</w:t>
      </w:r>
      <w:r>
        <w:rPr>
          <w:rFonts w:hint="eastAsia"/>
          <w:color w:val="auto"/>
          <w:sz w:val="24"/>
          <w:highlight w:val="none"/>
        </w:rPr>
        <w:t>及处理效率方面</w:t>
      </w:r>
      <w:r>
        <w:rPr>
          <w:color w:val="auto"/>
          <w:sz w:val="24"/>
          <w:highlight w:val="none"/>
        </w:rPr>
        <w:t>考虑，项目废水零排放是可实现的。</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113" w:name="_Toc16260"/>
      <w:bookmarkStart w:id="1114" w:name="_Toc28822"/>
      <w:bookmarkStart w:id="1115" w:name="_Toc31837"/>
      <w:bookmarkStart w:id="1116" w:name="_Toc14676"/>
      <w:bookmarkStart w:id="1117" w:name="_Toc29388"/>
      <w:bookmarkStart w:id="1118" w:name="_Toc30827"/>
      <w:r>
        <w:rPr>
          <w:rFonts w:ascii="Times New Roman" w:hAnsi="Times New Roman" w:eastAsia="宋体" w:cs="Times New Roman"/>
          <w:bCs w:val="0"/>
          <w:color w:val="auto"/>
          <w:szCs w:val="20"/>
          <w:highlight w:val="none"/>
          <w:lang w:val="en-US" w:bidi="ar-SA"/>
        </w:rPr>
        <w:t>6.3.2废气污染防治措施</w:t>
      </w:r>
      <w:bookmarkEnd w:id="1113"/>
      <w:bookmarkEnd w:id="1114"/>
      <w:bookmarkEnd w:id="1115"/>
      <w:bookmarkEnd w:id="1116"/>
      <w:bookmarkEnd w:id="1117"/>
      <w:bookmarkEnd w:id="1118"/>
    </w:p>
    <w:p>
      <w:pPr>
        <w:bidi w:val="0"/>
        <w:rPr>
          <w:color w:val="auto"/>
          <w:w w:val="100"/>
          <w:sz w:val="24"/>
          <w:highlight w:val="none"/>
        </w:rPr>
      </w:pPr>
      <w:r>
        <w:rPr>
          <w:rFonts w:hint="eastAsia"/>
          <w:color w:val="auto"/>
          <w:w w:val="100"/>
          <w:sz w:val="24"/>
          <w:highlight w:val="none"/>
          <w:lang w:eastAsia="zh-CN"/>
        </w:rPr>
        <w:t>（</w:t>
      </w:r>
      <w:r>
        <w:rPr>
          <w:color w:val="auto"/>
          <w:w w:val="100"/>
          <w:sz w:val="24"/>
          <w:highlight w:val="none"/>
        </w:rPr>
        <w:t>1）锅炉烟气</w:t>
      </w:r>
    </w:p>
    <w:p>
      <w:pPr>
        <w:bidi w:val="0"/>
        <w:rPr>
          <w:color w:val="auto"/>
          <w:w w:val="100"/>
          <w:sz w:val="24"/>
          <w:highlight w:val="none"/>
        </w:rPr>
      </w:pPr>
      <w:r>
        <w:rPr>
          <w:spacing w:val="-2"/>
        </w:rPr>
        <w:t>本项目生产、生活锅炉根据《</w:t>
      </w:r>
      <w:r>
        <w:fldChar w:fldCharType="begin"/>
      </w:r>
      <w:r>
        <w:instrText xml:space="preserve"> HYPERLINK "https://www.mee.gov.cn/ywgz/fgbz/bz/bzwb/kxxjszn/202106/W020210809526088806708.pdf" \h </w:instrText>
      </w:r>
      <w:r>
        <w:fldChar w:fldCharType="separate"/>
      </w:r>
      <w:r>
        <w:rPr>
          <w:spacing w:val="-2"/>
        </w:rPr>
        <w:t>工业锅炉污染防治可行技术指南》（</w:t>
      </w:r>
      <w:r>
        <w:rPr>
          <w:rFonts w:ascii="Times New Roman" w:hAnsi="Times New Roman" w:eastAsia="Times New Roman"/>
          <w:spacing w:val="-2"/>
        </w:rPr>
        <w:t>HJ</w:t>
      </w:r>
      <w:r>
        <w:rPr>
          <w:rFonts w:ascii="Times New Roman" w:hAnsi="Times New Roman" w:eastAsia="Times New Roman"/>
          <w:spacing w:val="-2"/>
        </w:rPr>
        <w:fldChar w:fldCharType="end"/>
      </w:r>
      <w:r>
        <w:rPr>
          <w:rFonts w:ascii="Times New Roman" w:hAnsi="Times New Roman" w:eastAsia="Times New Roman"/>
          <w:spacing w:val="-2"/>
        </w:rPr>
        <w:t xml:space="preserve"> </w:t>
      </w:r>
      <w:r>
        <w:fldChar w:fldCharType="begin"/>
      </w:r>
      <w:r>
        <w:instrText xml:space="preserve"> HYPERLINK "https://www.mee.gov.cn/ywgz/fgbz/bz/bzwb/kxxjszn/202106/W020210809526088806708.pdf" \h </w:instrText>
      </w:r>
      <w:r>
        <w:fldChar w:fldCharType="separate"/>
      </w:r>
      <w:r>
        <w:rPr>
          <w:rFonts w:ascii="Times New Roman" w:hAnsi="Times New Roman" w:eastAsia="Times New Roman"/>
          <w:spacing w:val="-4"/>
        </w:rPr>
        <w:t>1178—2021</w:t>
      </w:r>
      <w:r>
        <w:rPr>
          <w:spacing w:val="-4"/>
        </w:rPr>
        <w:t>）</w:t>
      </w:r>
      <w:r>
        <w:rPr>
          <w:spacing w:val="-4"/>
        </w:rPr>
        <w:fldChar w:fldCharType="end"/>
      </w:r>
      <w:r>
        <w:rPr>
          <w:spacing w:val="-15"/>
        </w:rPr>
        <w:t xml:space="preserve">表 </w:t>
      </w:r>
      <w:r>
        <w:rPr>
          <w:rFonts w:ascii="Times New Roman" w:hAnsi="Times New Roman" w:eastAsia="Times New Roman"/>
          <w:spacing w:val="-4"/>
        </w:rPr>
        <w:t>1</w:t>
      </w:r>
      <w:r>
        <w:rPr>
          <w:rFonts w:ascii="Times New Roman" w:hAnsi="Times New Roman" w:eastAsia="Times New Roman"/>
          <w:spacing w:val="-2"/>
        </w:rPr>
        <w:t xml:space="preserve"> </w:t>
      </w:r>
      <w:r>
        <w:rPr>
          <w:spacing w:val="-4"/>
        </w:rPr>
        <w:t>烟气污染防治可行技术，可采用低氮燃烧脱硝技术。</w:t>
      </w:r>
      <w:r>
        <w:rPr>
          <w:color w:val="auto"/>
          <w:w w:val="100"/>
          <w:sz w:val="24"/>
          <w:highlight w:val="none"/>
        </w:rPr>
        <w:t>本项目设置一台</w:t>
      </w:r>
      <w:r>
        <w:rPr>
          <w:rFonts w:hint="eastAsia"/>
          <w:color w:val="auto"/>
          <w:w w:val="100"/>
          <w:sz w:val="24"/>
          <w:highlight w:val="none"/>
          <w:lang w:val="en-US" w:eastAsia="zh-CN"/>
        </w:rPr>
        <w:t>6t/h</w:t>
      </w:r>
      <w:r>
        <w:rPr>
          <w:rFonts w:hint="eastAsia"/>
          <w:color w:val="auto"/>
          <w:w w:val="100"/>
          <w:sz w:val="24"/>
          <w:highlight w:val="none"/>
          <w:lang w:eastAsia="zh-CN"/>
        </w:rPr>
        <w:t>生物质</w:t>
      </w:r>
      <w:r>
        <w:rPr>
          <w:color w:val="auto"/>
          <w:w w:val="100"/>
          <w:sz w:val="24"/>
          <w:highlight w:val="none"/>
        </w:rPr>
        <w:t>蒸汽锅炉，生产及冬季生活</w:t>
      </w:r>
      <w:r>
        <w:rPr>
          <w:rFonts w:hint="eastAsia"/>
          <w:color w:val="auto"/>
          <w:w w:val="100"/>
          <w:sz w:val="24"/>
          <w:highlight w:val="none"/>
          <w:lang w:eastAsia="zh-CN"/>
        </w:rPr>
        <w:t>供热</w:t>
      </w:r>
      <w:r>
        <w:rPr>
          <w:color w:val="auto"/>
          <w:w w:val="100"/>
          <w:sz w:val="24"/>
          <w:highlight w:val="none"/>
        </w:rPr>
        <w:t>均由</w:t>
      </w:r>
      <w:r>
        <w:rPr>
          <w:rFonts w:hint="eastAsia"/>
          <w:color w:val="auto"/>
          <w:w w:val="100"/>
          <w:sz w:val="24"/>
          <w:highlight w:val="none"/>
          <w:lang w:eastAsia="zh-CN"/>
        </w:rPr>
        <w:t>生物质</w:t>
      </w:r>
      <w:r>
        <w:rPr>
          <w:color w:val="auto"/>
          <w:w w:val="100"/>
          <w:sz w:val="24"/>
          <w:highlight w:val="none"/>
        </w:rPr>
        <w:t>锅炉提供，年耗</w:t>
      </w:r>
      <w:r>
        <w:rPr>
          <w:rFonts w:hint="eastAsia"/>
          <w:color w:val="auto"/>
          <w:w w:val="100"/>
          <w:sz w:val="24"/>
          <w:highlight w:val="none"/>
          <w:lang w:eastAsia="zh-CN"/>
        </w:rPr>
        <w:t>生物质颗粒</w:t>
      </w:r>
      <w:r>
        <w:rPr>
          <w:rFonts w:hint="eastAsia"/>
          <w:color w:val="auto"/>
          <w:w w:val="100"/>
          <w:sz w:val="24"/>
          <w:highlight w:val="none"/>
          <w:lang w:val="en-US" w:eastAsia="zh-CN"/>
        </w:rPr>
        <w:t>4165吨</w:t>
      </w:r>
      <w:r>
        <w:rPr>
          <w:color w:val="auto"/>
          <w:w w:val="100"/>
          <w:sz w:val="24"/>
          <w:highlight w:val="none"/>
        </w:rPr>
        <w:t>，</w:t>
      </w:r>
      <w:r>
        <w:rPr>
          <w:rFonts w:hint="eastAsia"/>
          <w:color w:val="auto"/>
          <w:w w:val="100"/>
          <w:sz w:val="24"/>
          <w:highlight w:val="none"/>
          <w:lang w:eastAsia="zh-CN"/>
        </w:rPr>
        <w:t>本项目烟气采用袋式除尘</w:t>
      </w:r>
      <w:r>
        <w:rPr>
          <w:rFonts w:hint="eastAsia"/>
          <w:color w:val="auto"/>
          <w:w w:val="100"/>
          <w:sz w:val="24"/>
          <w:highlight w:val="none"/>
          <w:lang w:val="en-US" w:eastAsia="zh-CN"/>
        </w:rPr>
        <w:t>+35米高排气筒排放</w:t>
      </w:r>
      <w:r>
        <w:rPr>
          <w:color w:val="auto"/>
          <w:w w:val="100"/>
          <w:sz w:val="24"/>
          <w:highlight w:val="none"/>
        </w:rPr>
        <w:t>，锅炉大气污染物排放浓度满足</w:t>
      </w:r>
      <w:r>
        <w:rPr>
          <w:rFonts w:hint="eastAsia"/>
          <w:color w:val="auto"/>
          <w:w w:val="100"/>
          <w:sz w:val="24"/>
          <w:highlight w:val="none"/>
        </w:rPr>
        <w:t>《锅炉大气污染物排放标准》（GB13271-2014）中的表2新建锅炉大气标准要求</w:t>
      </w:r>
      <w:r>
        <w:rPr>
          <w:color w:val="auto"/>
          <w:w w:val="100"/>
          <w:sz w:val="24"/>
          <w:highlight w:val="none"/>
        </w:rPr>
        <w:t>；</w:t>
      </w:r>
      <w:r>
        <w:rPr>
          <w:rFonts w:hint="eastAsia"/>
          <w:color w:val="auto"/>
          <w:w w:val="100"/>
          <w:sz w:val="24"/>
          <w:highlight w:val="none"/>
        </w:rPr>
        <w:t>烟囱高度35m，烟囱高度执行燃煤锅炉房烟囱最低允许高度35m，并高于周围半径200m距离内最高建筑物3m以上</w:t>
      </w:r>
      <w:r>
        <w:rPr>
          <w:color w:val="auto"/>
          <w:w w:val="100"/>
          <w:sz w:val="24"/>
          <w:highlight w:val="none"/>
        </w:rPr>
        <w:t>。</w:t>
      </w:r>
    </w:p>
    <w:p>
      <w:pPr>
        <w:bidi w:val="0"/>
        <w:rPr>
          <w:color w:val="auto"/>
          <w:w w:val="100"/>
          <w:sz w:val="24"/>
          <w:highlight w:val="none"/>
        </w:rPr>
      </w:pPr>
      <w:r>
        <w:rPr>
          <w:rFonts w:hint="eastAsia"/>
          <w:color w:val="auto"/>
          <w:w w:val="100"/>
          <w:sz w:val="24"/>
          <w:highlight w:val="none"/>
          <w:lang w:eastAsia="zh-CN"/>
        </w:rPr>
        <w:t>（</w:t>
      </w:r>
      <w:r>
        <w:rPr>
          <w:color w:val="auto"/>
          <w:w w:val="100"/>
          <w:sz w:val="24"/>
          <w:highlight w:val="none"/>
        </w:rPr>
        <w:t>2）污水处理站恶臭</w:t>
      </w:r>
    </w:p>
    <w:p>
      <w:pPr>
        <w:bidi w:val="0"/>
        <w:rPr>
          <w:color w:val="auto"/>
          <w:sz w:val="24"/>
          <w:highlight w:val="none"/>
        </w:rPr>
      </w:pPr>
      <w:r>
        <w:rPr>
          <w:color w:val="auto"/>
          <w:sz w:val="24"/>
          <w:highlight w:val="none"/>
        </w:rPr>
        <w:t>本项目污水处理站产生的恶臭气体参照《排污许可证 申请与核发技术规范水处理（试行）》（HJ978-2018）表 5 对氨气、硫化氢的处理方式，可采用活性炭吸附法。</w:t>
      </w:r>
    </w:p>
    <w:p>
      <w:pPr>
        <w:bidi w:val="0"/>
        <w:rPr>
          <w:spacing w:val="-23"/>
        </w:rPr>
      </w:pPr>
      <w:r>
        <w:rPr>
          <w:color w:val="auto"/>
          <w:sz w:val="24"/>
          <w:highlight w:val="none"/>
        </w:rPr>
        <w:t>活性炭吸附装置处理工艺技术介绍：有机废气通过</w:t>
      </w:r>
      <w:r>
        <w:rPr>
          <w:rFonts w:hint="eastAsia"/>
          <w:color w:val="auto"/>
          <w:sz w:val="24"/>
          <w:highlight w:val="none"/>
          <w:lang w:val="en-US" w:eastAsia="zh-CN"/>
        </w:rPr>
        <w:t>集气</w:t>
      </w:r>
      <w:r>
        <w:rPr>
          <w:color w:val="auto"/>
          <w:sz w:val="24"/>
          <w:highlight w:val="none"/>
        </w:rPr>
        <w:t>装置进入活性炭吸附箱，活性炭的多孔结构提供了大量的表面积，将废气的杂质和异味分子吸引到孔径中，非甲烷总烃被活性炭特有的作用力截留在其内部，洁净气体排出；经过一段时间后，活性炭达到饱和状态时，停止吸附，此时废气已被浓缩在活性炭内。为了提高活性炭吸附装置的吸附效率，减小活性炭吸附装置的占地面积，本</w:t>
      </w:r>
      <w:r>
        <w:rPr>
          <w:spacing w:val="-2"/>
        </w:rPr>
        <w:t>方案拟采用新型的活性炭吸附材料（蜂窝状活性炭），其与颗粒状相比具有低阻低耗，高吸附率等性能。活性炭吸附装置设计原理先进，用材独特，性能稳定，操作简单，安全可靠，设备占地面积小、重量较轻。吸附箱采用抽屉式结构、装</w:t>
      </w:r>
      <w:r>
        <w:rPr>
          <w:spacing w:val="-23"/>
        </w:rPr>
        <w:t>填方便、更换容易。该装置具有强大的吸附性，具有孔隙结构发达、比表面积大、</w:t>
      </w:r>
      <w:r>
        <w:rPr>
          <w:spacing w:val="-2"/>
        </w:rPr>
        <w:t>流体阻力小等优点，有效地吸附废气中的有害物质，易于清理，通风效果好。由于含有机物质的气体经过活性炭时与表面产生强烈的混和，形成多级净化过程，提高了净化效果，从而达到去除有机物、保证环境不受污染的目的，废气排放符</w:t>
      </w:r>
      <w:r>
        <w:rPr>
          <w:spacing w:val="-23"/>
        </w:rPr>
        <w:t>合国家有关标准。</w:t>
      </w:r>
    </w:p>
    <w:p>
      <w:pPr>
        <w:bidi w:val="0"/>
        <w:rPr>
          <w:color w:val="auto"/>
          <w:w w:val="100"/>
          <w:sz w:val="24"/>
          <w:highlight w:val="none"/>
        </w:rPr>
      </w:pPr>
      <w:r>
        <w:rPr>
          <w:rFonts w:hint="eastAsia"/>
          <w:color w:val="auto"/>
          <w:w w:val="100"/>
          <w:sz w:val="24"/>
          <w:highlight w:val="none"/>
          <w:lang w:eastAsia="zh-CN"/>
        </w:rPr>
        <w:t>污水处理站废气经负压集气</w:t>
      </w:r>
      <w:r>
        <w:rPr>
          <w:rFonts w:hint="eastAsia"/>
          <w:color w:val="auto"/>
          <w:w w:val="100"/>
          <w:sz w:val="24"/>
          <w:highlight w:val="none"/>
          <w:lang w:val="en-US" w:eastAsia="zh-CN"/>
        </w:rPr>
        <w:t>+活性炭吸附+15米高排气筒排放，有组织废气排放口NH</w:t>
      </w:r>
      <w:r>
        <w:rPr>
          <w:rFonts w:hint="eastAsia"/>
          <w:color w:val="auto"/>
          <w:w w:val="100"/>
          <w:sz w:val="24"/>
          <w:highlight w:val="none"/>
          <w:vertAlign w:val="subscript"/>
          <w:lang w:val="en-US" w:eastAsia="zh-CN"/>
        </w:rPr>
        <w:t>3</w:t>
      </w:r>
      <w:r>
        <w:rPr>
          <w:rFonts w:hint="eastAsia"/>
          <w:color w:val="auto"/>
          <w:w w:val="100"/>
          <w:sz w:val="24"/>
          <w:highlight w:val="none"/>
          <w:lang w:val="en-US" w:eastAsia="zh-CN"/>
        </w:rPr>
        <w:t>、H</w:t>
      </w:r>
      <w:r>
        <w:rPr>
          <w:rFonts w:hint="eastAsia"/>
          <w:color w:val="auto"/>
          <w:w w:val="100"/>
          <w:sz w:val="24"/>
          <w:highlight w:val="none"/>
          <w:vertAlign w:val="subscript"/>
          <w:lang w:val="en-US" w:eastAsia="zh-CN"/>
        </w:rPr>
        <w:t>2</w:t>
      </w:r>
      <w:r>
        <w:rPr>
          <w:rFonts w:hint="eastAsia"/>
          <w:color w:val="auto"/>
          <w:w w:val="100"/>
          <w:sz w:val="24"/>
          <w:highlight w:val="none"/>
          <w:lang w:val="en-US" w:eastAsia="zh-CN"/>
        </w:rPr>
        <w:t>S、臭气浓度执行《恶臭污染物排放标准》（GB14554-93）表2恶臭污染物排放标准值。</w:t>
      </w:r>
      <w:r>
        <w:rPr>
          <w:color w:val="auto"/>
          <w:w w:val="100"/>
          <w:sz w:val="24"/>
          <w:highlight w:val="none"/>
        </w:rPr>
        <w:t>污水处理站封闭，及时清掏污泥、加强厂区绿化，尽量控制无组织气体排放量，经大气稀释扩散后无组织H</w:t>
      </w:r>
      <w:r>
        <w:rPr>
          <w:color w:val="auto"/>
          <w:w w:val="100"/>
          <w:sz w:val="24"/>
          <w:highlight w:val="none"/>
          <w:vertAlign w:val="subscript"/>
        </w:rPr>
        <w:t>2</w:t>
      </w:r>
      <w:r>
        <w:rPr>
          <w:color w:val="auto"/>
          <w:w w:val="100"/>
          <w:sz w:val="24"/>
          <w:highlight w:val="none"/>
        </w:rPr>
        <w:t>S、NH</w:t>
      </w:r>
      <w:r>
        <w:rPr>
          <w:color w:val="auto"/>
          <w:w w:val="100"/>
          <w:sz w:val="24"/>
          <w:highlight w:val="none"/>
          <w:vertAlign w:val="subscript"/>
        </w:rPr>
        <w:t>3</w:t>
      </w:r>
      <w:r>
        <w:rPr>
          <w:color w:val="auto"/>
          <w:w w:val="100"/>
          <w:sz w:val="24"/>
          <w:highlight w:val="none"/>
        </w:rPr>
        <w:t>、臭气浓度可满足《恶臭污染物排放标准》</w:t>
      </w:r>
      <w:r>
        <w:rPr>
          <w:rFonts w:hint="eastAsia"/>
          <w:color w:val="auto"/>
          <w:w w:val="100"/>
          <w:sz w:val="24"/>
          <w:highlight w:val="none"/>
          <w:lang w:eastAsia="zh-CN"/>
        </w:rPr>
        <w:t>（</w:t>
      </w:r>
      <w:r>
        <w:rPr>
          <w:color w:val="auto"/>
          <w:w w:val="100"/>
          <w:sz w:val="24"/>
          <w:highlight w:val="none"/>
        </w:rPr>
        <w:t>GB14554-93）表1中二级新扩改建标准恶臭污染物厂界标准限值要求。</w:t>
      </w:r>
    </w:p>
    <w:p>
      <w:pPr>
        <w:bidi w:val="0"/>
        <w:rPr>
          <w:rFonts w:hint="eastAsia"/>
          <w:color w:val="auto"/>
          <w:w w:val="100"/>
          <w:sz w:val="24"/>
          <w:highlight w:val="none"/>
          <w:lang w:eastAsia="zh-CN"/>
        </w:rPr>
      </w:pPr>
      <w:r>
        <w:rPr>
          <w:rFonts w:hint="eastAsia"/>
          <w:color w:val="auto"/>
          <w:w w:val="100"/>
          <w:sz w:val="24"/>
          <w:highlight w:val="none"/>
          <w:lang w:eastAsia="zh-CN"/>
        </w:rPr>
        <w:t>因此，本项目废气污染防治措施可行。</w:t>
      </w:r>
    </w:p>
    <w:p>
      <w:pPr>
        <w:pStyle w:val="7"/>
        <w:bidi w:val="0"/>
        <w:rPr>
          <w:color w:val="auto"/>
          <w:highlight w:val="none"/>
        </w:rPr>
      </w:pPr>
      <w:bookmarkStart w:id="1119" w:name="_Toc23465"/>
      <w:bookmarkStart w:id="1120" w:name="_Toc13621"/>
      <w:bookmarkStart w:id="1121" w:name="_Toc23960"/>
      <w:bookmarkStart w:id="1122" w:name="_Toc28671"/>
      <w:bookmarkStart w:id="1123" w:name="_Toc18958"/>
      <w:bookmarkStart w:id="1124" w:name="_Toc12395"/>
      <w:r>
        <w:rPr>
          <w:color w:val="auto"/>
          <w:highlight w:val="none"/>
        </w:rPr>
        <w:t>6.3.3噪声污染防治措施</w:t>
      </w:r>
      <w:bookmarkEnd w:id="1119"/>
      <w:bookmarkEnd w:id="1120"/>
      <w:bookmarkEnd w:id="1121"/>
      <w:bookmarkEnd w:id="1122"/>
      <w:bookmarkEnd w:id="1123"/>
      <w:bookmarkEnd w:id="1124"/>
    </w:p>
    <w:p>
      <w:pPr>
        <w:bidi w:val="0"/>
        <w:rPr>
          <w:color w:val="auto"/>
          <w:sz w:val="24"/>
          <w:highlight w:val="none"/>
        </w:rPr>
      </w:pPr>
      <w:r>
        <w:rPr>
          <w:color w:val="auto"/>
          <w:sz w:val="24"/>
          <w:highlight w:val="none"/>
        </w:rPr>
        <w:t>本项目噪声污染源主要为生产车间的碎浆机、磨浆机、锅炉房风机等设备，其噪声源强在70-100dB</w:t>
      </w:r>
      <w:r>
        <w:rPr>
          <w:rFonts w:hint="eastAsia"/>
          <w:color w:val="auto"/>
          <w:sz w:val="24"/>
          <w:highlight w:val="none"/>
          <w:lang w:eastAsia="zh-CN"/>
        </w:rPr>
        <w:t>（</w:t>
      </w:r>
      <w:r>
        <w:rPr>
          <w:color w:val="auto"/>
          <w:sz w:val="24"/>
          <w:highlight w:val="none"/>
        </w:rPr>
        <w:t>A）间，为了减轻各类噪声对工人操作环境和周围声环境影响，需采取措施，见表</w:t>
      </w:r>
      <w:r>
        <w:rPr>
          <w:rFonts w:hint="eastAsia"/>
          <w:color w:val="auto"/>
          <w:sz w:val="24"/>
          <w:highlight w:val="none"/>
          <w:lang w:val="en-US" w:eastAsia="zh-CN"/>
        </w:rPr>
        <w:t>6.3.3-1</w:t>
      </w:r>
      <w:r>
        <w:rPr>
          <w:color w:val="auto"/>
          <w:sz w:val="24"/>
          <w:highlight w:val="none"/>
        </w:rPr>
        <w:t>。</w:t>
      </w:r>
    </w:p>
    <w:p>
      <w:pPr>
        <w:bidi w:val="0"/>
        <w:rPr>
          <w:color w:val="auto"/>
          <w:sz w:val="24"/>
          <w:highlight w:val="none"/>
        </w:rPr>
      </w:pPr>
      <w:r>
        <w:rPr>
          <w:color w:val="auto"/>
          <w:sz w:val="24"/>
          <w:highlight w:val="none"/>
        </w:rPr>
        <w:fldChar w:fldCharType="begin"/>
      </w:r>
      <w:r>
        <w:rPr>
          <w:color w:val="auto"/>
          <w:sz w:val="24"/>
          <w:highlight w:val="none"/>
        </w:rPr>
        <w:instrText xml:space="preserve"> = 1 \* GB3 </w:instrText>
      </w:r>
      <w:r>
        <w:rPr>
          <w:color w:val="auto"/>
          <w:sz w:val="24"/>
          <w:highlight w:val="none"/>
        </w:rPr>
        <w:fldChar w:fldCharType="separate"/>
      </w:r>
      <w:r>
        <w:rPr>
          <w:color w:val="auto"/>
          <w:sz w:val="24"/>
          <w:highlight w:val="none"/>
        </w:rPr>
        <w:t>①</w:t>
      </w:r>
      <w:r>
        <w:rPr>
          <w:color w:val="auto"/>
          <w:sz w:val="24"/>
          <w:highlight w:val="none"/>
        </w:rPr>
        <w:fldChar w:fldCharType="end"/>
      </w:r>
      <w:r>
        <w:rPr>
          <w:color w:val="auto"/>
          <w:sz w:val="24"/>
          <w:highlight w:val="none"/>
        </w:rPr>
        <w:t>鼓风机等各种设备均置于室内，并且对产生机械噪声的设备进行减振处理，减少设备振动噪声；经采取措施后噪声值可消减约20dB</w:t>
      </w:r>
      <w:r>
        <w:rPr>
          <w:rFonts w:hint="eastAsia"/>
          <w:color w:val="auto"/>
          <w:sz w:val="24"/>
          <w:highlight w:val="none"/>
          <w:lang w:eastAsia="zh-CN"/>
        </w:rPr>
        <w:t>（</w:t>
      </w:r>
      <w:r>
        <w:rPr>
          <w:color w:val="auto"/>
          <w:sz w:val="24"/>
          <w:highlight w:val="none"/>
        </w:rPr>
        <w:t>A</w:t>
      </w:r>
      <w:r>
        <w:rPr>
          <w:rFonts w:hint="eastAsia"/>
          <w:color w:val="auto"/>
          <w:sz w:val="24"/>
          <w:highlight w:val="none"/>
          <w:lang w:eastAsia="zh-CN"/>
        </w:rPr>
        <w:t>）</w:t>
      </w:r>
      <w:r>
        <w:rPr>
          <w:color w:val="auto"/>
          <w:sz w:val="24"/>
          <w:highlight w:val="none"/>
        </w:rPr>
        <w:t>，减轻噪声对操作人员的危害和对环境的影响。</w:t>
      </w:r>
    </w:p>
    <w:p>
      <w:pPr>
        <w:bidi w:val="0"/>
        <w:rPr>
          <w:color w:val="auto"/>
          <w:sz w:val="24"/>
          <w:highlight w:val="none"/>
        </w:rPr>
      </w:pPr>
      <w:r>
        <w:rPr>
          <w:color w:val="auto"/>
          <w:sz w:val="24"/>
          <w:highlight w:val="none"/>
        </w:rPr>
        <w:fldChar w:fldCharType="begin"/>
      </w:r>
      <w:r>
        <w:rPr>
          <w:color w:val="auto"/>
          <w:sz w:val="24"/>
          <w:highlight w:val="none"/>
        </w:rPr>
        <w:instrText xml:space="preserve"> = 2 \* GB3 </w:instrText>
      </w:r>
      <w:r>
        <w:rPr>
          <w:color w:val="auto"/>
          <w:sz w:val="24"/>
          <w:highlight w:val="none"/>
        </w:rPr>
        <w:fldChar w:fldCharType="separate"/>
      </w:r>
      <w:r>
        <w:rPr>
          <w:color w:val="auto"/>
          <w:sz w:val="24"/>
          <w:highlight w:val="none"/>
        </w:rPr>
        <w:t>②</w:t>
      </w:r>
      <w:r>
        <w:rPr>
          <w:color w:val="auto"/>
          <w:sz w:val="24"/>
          <w:highlight w:val="none"/>
        </w:rPr>
        <w:fldChar w:fldCharType="end"/>
      </w:r>
      <w:r>
        <w:rPr>
          <w:color w:val="auto"/>
          <w:sz w:val="24"/>
          <w:highlight w:val="none"/>
        </w:rPr>
        <w:t>平时加强设备的维护，使设备长期运行在良好状态。</w:t>
      </w:r>
    </w:p>
    <w:p>
      <w:pPr>
        <w:bidi w:val="0"/>
        <w:rPr>
          <w:color w:val="auto"/>
          <w:sz w:val="24"/>
          <w:highlight w:val="none"/>
        </w:rPr>
      </w:pPr>
      <w:r>
        <w:rPr>
          <w:color w:val="auto"/>
          <w:sz w:val="24"/>
          <w:highlight w:val="none"/>
        </w:rPr>
        <w:fldChar w:fldCharType="begin"/>
      </w:r>
      <w:r>
        <w:rPr>
          <w:color w:val="auto"/>
          <w:sz w:val="24"/>
          <w:highlight w:val="none"/>
        </w:rPr>
        <w:instrText xml:space="preserve"> = 3 \* GB3 </w:instrText>
      </w:r>
      <w:r>
        <w:rPr>
          <w:color w:val="auto"/>
          <w:sz w:val="24"/>
          <w:highlight w:val="none"/>
        </w:rPr>
        <w:fldChar w:fldCharType="separate"/>
      </w:r>
      <w:r>
        <w:rPr>
          <w:color w:val="auto"/>
          <w:sz w:val="24"/>
          <w:highlight w:val="none"/>
        </w:rPr>
        <w:t>③</w:t>
      </w:r>
      <w:r>
        <w:rPr>
          <w:color w:val="auto"/>
          <w:sz w:val="24"/>
          <w:highlight w:val="none"/>
        </w:rPr>
        <w:fldChar w:fldCharType="end"/>
      </w:r>
      <w:r>
        <w:rPr>
          <w:color w:val="auto"/>
          <w:sz w:val="24"/>
          <w:highlight w:val="none"/>
        </w:rPr>
        <w:t>在引进设备中，在满足工艺要求的前提下应尽量采用低噪声设备，设备安装中基础应做减振处理，从设备本身降低噪声值，从而减轻对环境的影响。</w:t>
      </w:r>
    </w:p>
    <w:p>
      <w:pPr>
        <w:bidi w:val="0"/>
        <w:rPr>
          <w:color w:val="auto"/>
          <w:sz w:val="24"/>
          <w:highlight w:val="none"/>
        </w:rPr>
      </w:pPr>
      <w:r>
        <w:rPr>
          <w:color w:val="auto"/>
          <w:sz w:val="24"/>
          <w:highlight w:val="none"/>
        </w:rPr>
        <w:fldChar w:fldCharType="begin"/>
      </w:r>
      <w:r>
        <w:rPr>
          <w:color w:val="auto"/>
          <w:sz w:val="24"/>
          <w:highlight w:val="none"/>
        </w:rPr>
        <w:instrText xml:space="preserve"> = 4 \* GB3 </w:instrText>
      </w:r>
      <w:r>
        <w:rPr>
          <w:color w:val="auto"/>
          <w:sz w:val="24"/>
          <w:highlight w:val="none"/>
        </w:rPr>
        <w:fldChar w:fldCharType="separate"/>
      </w:r>
      <w:r>
        <w:rPr>
          <w:color w:val="auto"/>
          <w:sz w:val="24"/>
          <w:highlight w:val="none"/>
        </w:rPr>
        <w:t>④</w:t>
      </w:r>
      <w:r>
        <w:rPr>
          <w:color w:val="auto"/>
          <w:sz w:val="24"/>
          <w:highlight w:val="none"/>
        </w:rPr>
        <w:fldChar w:fldCharType="end"/>
      </w:r>
      <w:r>
        <w:rPr>
          <w:color w:val="auto"/>
          <w:sz w:val="24"/>
          <w:highlight w:val="none"/>
        </w:rPr>
        <w:t>水泵尽量采用潜水泵，降低设备噪声对厂界声环境的影响。</w:t>
      </w:r>
    </w:p>
    <w:p>
      <w:pPr>
        <w:bidi w:val="0"/>
        <w:rPr>
          <w:color w:val="auto"/>
          <w:sz w:val="24"/>
          <w:highlight w:val="none"/>
        </w:rPr>
      </w:pPr>
      <w:r>
        <w:rPr>
          <w:color w:val="auto"/>
          <w:sz w:val="24"/>
          <w:highlight w:val="none"/>
        </w:rPr>
        <w:t>⑤厂区加强绿化。</w:t>
      </w:r>
    </w:p>
    <w:p>
      <w:pPr>
        <w:bidi w:val="0"/>
        <w:rPr>
          <w:color w:val="auto"/>
          <w:sz w:val="24"/>
          <w:highlight w:val="none"/>
        </w:rPr>
      </w:pPr>
      <w:r>
        <w:rPr>
          <w:color w:val="auto"/>
          <w:sz w:val="24"/>
          <w:highlight w:val="none"/>
        </w:rPr>
        <w:t>表6</w:t>
      </w:r>
      <w:r>
        <w:rPr>
          <w:rFonts w:hint="eastAsia"/>
          <w:color w:val="auto"/>
          <w:sz w:val="24"/>
          <w:highlight w:val="none"/>
          <w:lang w:val="en-US" w:eastAsia="zh-CN"/>
        </w:rPr>
        <w:t>.3.3-1</w:t>
      </w:r>
      <w:r>
        <w:rPr>
          <w:color w:val="auto"/>
          <w:sz w:val="24"/>
          <w:highlight w:val="none"/>
        </w:rPr>
        <w:t xml:space="preserve">  </w:t>
      </w:r>
      <w:r>
        <w:rPr>
          <w:rFonts w:hint="eastAsia"/>
          <w:color w:val="auto"/>
          <w:sz w:val="24"/>
          <w:highlight w:val="none"/>
          <w:lang w:val="en-US" w:eastAsia="zh-CN"/>
        </w:rPr>
        <w:t xml:space="preserve">                 </w:t>
      </w:r>
      <w:r>
        <w:rPr>
          <w:color w:val="auto"/>
          <w:sz w:val="24"/>
          <w:highlight w:val="none"/>
        </w:rPr>
        <w:t>噪声源及控制措施</w:t>
      </w:r>
    </w:p>
    <w:tbl>
      <w:tblPr>
        <w:tblStyle w:val="23"/>
        <w:tblW w:w="927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6"/>
        <w:gridCol w:w="1672"/>
        <w:gridCol w:w="3257"/>
        <w:gridCol w:w="20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噪声源</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设备名称）</w:t>
            </w:r>
          </w:p>
        </w:tc>
        <w:tc>
          <w:tcPr>
            <w:tcW w:w="167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声源强dB</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A）</w:t>
            </w:r>
          </w:p>
        </w:tc>
        <w:tc>
          <w:tcPr>
            <w:tcW w:w="3257"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治理措施</w:t>
            </w:r>
          </w:p>
        </w:tc>
        <w:tc>
          <w:tcPr>
            <w:tcW w:w="202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降噪效果dB</w:t>
            </w:r>
            <w:r>
              <w:rPr>
                <w:rFonts w:hint="eastAsia" w:ascii="Times New Roman" w:hAnsi="Times New Roman" w:eastAsia="宋体" w:cs="Times New Roman"/>
                <w:color w:val="auto"/>
                <w:w w:val="100"/>
                <w:sz w:val="21"/>
                <w:highlight w:val="none"/>
              </w:rPr>
              <w:t>（</w:t>
            </w:r>
            <w:r>
              <w:rPr>
                <w:rFonts w:ascii="Times New Roman" w:hAnsi="Times New Roman" w:eastAsia="宋体" w:cs="Times New Roman"/>
                <w:color w:val="auto"/>
                <w:w w:val="100"/>
                <w:sz w:val="21"/>
                <w:highlight w:val="none"/>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15m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高浓度水利碎浆机</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5m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高浓度水利碎浆机</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1.2m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压力筛</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70-75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0.6m</w:t>
            </w:r>
            <w:r>
              <w:rPr>
                <w:rFonts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压力筛</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基础减震、设置在密封的房间</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43</w:t>
            </w:r>
            <w:r>
              <w:rPr>
                <w:rFonts w:hint="eastAsia" w:ascii="Times New Roman" w:hAnsi="Times New Roman" w:eastAsia="宋体" w:cs="Times New Roman"/>
                <w:color w:val="auto"/>
                <w:w w:val="100"/>
                <w:sz w:val="21"/>
                <w:highlight w:val="none"/>
              </w:rPr>
              <w:t>跳筛</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70-75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23</w:t>
            </w:r>
            <w:r>
              <w:rPr>
                <w:rFonts w:hint="eastAsia" w:ascii="Times New Roman" w:hAnsi="Times New Roman" w:eastAsia="宋体" w:cs="Times New Roman"/>
                <w:color w:val="auto"/>
                <w:w w:val="100"/>
                <w:sz w:val="21"/>
                <w:highlight w:val="none"/>
              </w:rPr>
              <w:t>跳筛</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斜筛</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70-75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浆泵</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木粉筛选机</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离心泵</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70-80</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450</w:t>
            </w:r>
            <w:r>
              <w:rPr>
                <w:rFonts w:hint="eastAsia" w:ascii="Times New Roman" w:hAnsi="Times New Roman" w:eastAsia="宋体" w:cs="Times New Roman"/>
                <w:color w:val="auto"/>
                <w:w w:val="100"/>
                <w:sz w:val="21"/>
                <w:highlight w:val="none"/>
              </w:rPr>
              <w:t>双盘磨浆机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75-85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3600mm平板纸纸机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切纸机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卷纸机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生物质蒸汽</w:t>
            </w:r>
            <w:r>
              <w:rPr>
                <w:rFonts w:ascii="Times New Roman" w:hAnsi="Times New Roman" w:eastAsia="宋体" w:cs="Times New Roman"/>
                <w:color w:val="auto"/>
                <w:w w:val="100"/>
                <w:sz w:val="21"/>
                <w:highlight w:val="none"/>
              </w:rPr>
              <w:t>锅炉</w:t>
            </w:r>
          </w:p>
        </w:tc>
        <w:tc>
          <w:tcPr>
            <w:tcW w:w="1672"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70-85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引风机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26"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鼓风机</w:t>
            </w:r>
          </w:p>
        </w:tc>
        <w:tc>
          <w:tcPr>
            <w:tcW w:w="167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80-85</w:t>
            </w:r>
          </w:p>
        </w:tc>
        <w:tc>
          <w:tcPr>
            <w:tcW w:w="3257"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基础减震、设置在密闭的房间内</w:t>
            </w:r>
          </w:p>
        </w:tc>
        <w:tc>
          <w:tcPr>
            <w:tcW w:w="2021" w:type="dxa"/>
            <w:vAlign w:val="center"/>
          </w:tcPr>
          <w:p>
            <w:pPr>
              <w:pStyle w:val="31"/>
              <w:bidi w:val="0"/>
              <w:rPr>
                <w:rFonts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20-30</w:t>
            </w:r>
          </w:p>
        </w:tc>
      </w:tr>
    </w:tbl>
    <w:p>
      <w:pPr>
        <w:bidi w:val="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上述噪声治理措施均是成熟可靠的措施，运营期严格管理、勤于维护，厂界噪声均能满足《工业企业厂界环境噪声排放标准》</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GB12348-2008）表1中</w:t>
      </w:r>
      <w:r>
        <w:rPr>
          <w:rFonts w:hint="eastAsia" w:cs="Times New Roman"/>
          <w:color w:val="auto"/>
          <w:sz w:val="24"/>
          <w:highlight w:val="none"/>
          <w:lang w:val="en-US" w:eastAsia="zh-CN"/>
        </w:rPr>
        <w:t>3</w:t>
      </w:r>
      <w:r>
        <w:rPr>
          <w:rFonts w:ascii="Times New Roman" w:hAnsi="Times New Roman" w:eastAsia="宋体" w:cs="Times New Roman"/>
          <w:color w:val="auto"/>
          <w:sz w:val="24"/>
          <w:highlight w:val="none"/>
        </w:rPr>
        <w:t>类标准：昼间6</w:t>
      </w:r>
      <w:r>
        <w:rPr>
          <w:rFonts w:hint="eastAsia" w:cs="Times New Roman"/>
          <w:color w:val="auto"/>
          <w:sz w:val="24"/>
          <w:highlight w:val="none"/>
          <w:lang w:val="en-US" w:eastAsia="zh-CN"/>
        </w:rPr>
        <w:t>5</w:t>
      </w:r>
      <w:r>
        <w:rPr>
          <w:rFonts w:ascii="Times New Roman" w:hAnsi="Times New Roman" w:eastAsia="宋体" w:cs="Times New Roman"/>
          <w:color w:val="auto"/>
          <w:sz w:val="24"/>
          <w:highlight w:val="none"/>
        </w:rPr>
        <w:t>dB</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，夜间</w:t>
      </w:r>
      <w:r>
        <w:rPr>
          <w:rFonts w:hint="eastAsia" w:cs="Times New Roman"/>
          <w:color w:val="auto"/>
          <w:sz w:val="24"/>
          <w:highlight w:val="none"/>
          <w:lang w:val="en-US" w:eastAsia="zh-CN"/>
        </w:rPr>
        <w:t>55</w:t>
      </w:r>
      <w:r>
        <w:rPr>
          <w:rFonts w:ascii="Times New Roman" w:hAnsi="Times New Roman" w:eastAsia="宋体" w:cs="Times New Roman"/>
          <w:color w:val="auto"/>
          <w:sz w:val="24"/>
          <w:highlight w:val="none"/>
        </w:rPr>
        <w:t>dB</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w:t>
      </w:r>
    </w:p>
    <w:p>
      <w:pPr>
        <w:pStyle w:val="7"/>
        <w:bidi w:val="0"/>
        <w:rPr>
          <w:color w:val="auto"/>
          <w:highlight w:val="none"/>
        </w:rPr>
      </w:pPr>
      <w:bookmarkStart w:id="1125" w:name="_Toc22133"/>
      <w:bookmarkStart w:id="1126" w:name="_Toc30539"/>
      <w:bookmarkStart w:id="1127" w:name="_Toc5439"/>
      <w:bookmarkStart w:id="1128" w:name="_Toc10838"/>
      <w:bookmarkStart w:id="1129" w:name="_Toc7328"/>
      <w:bookmarkStart w:id="1130" w:name="_Toc5355"/>
      <w:r>
        <w:rPr>
          <w:color w:val="auto"/>
          <w:highlight w:val="none"/>
        </w:rPr>
        <w:t>6.3.4固体废物处理处置</w:t>
      </w:r>
      <w:bookmarkEnd w:id="1125"/>
      <w:bookmarkEnd w:id="1126"/>
      <w:bookmarkEnd w:id="1127"/>
      <w:bookmarkEnd w:id="1128"/>
      <w:bookmarkEnd w:id="1129"/>
      <w:bookmarkEnd w:id="1130"/>
    </w:p>
    <w:p>
      <w:pPr>
        <w:bidi w:val="0"/>
        <w:rPr>
          <w:rFonts w:hint="eastAsia" w:eastAsia="宋体"/>
          <w:color w:val="auto"/>
          <w:highlight w:val="none"/>
          <w:lang w:eastAsia="zh-CN"/>
        </w:rPr>
      </w:pPr>
      <w:bookmarkStart w:id="1131" w:name="_Toc29123"/>
      <w:bookmarkStart w:id="1132" w:name="_Toc23688"/>
      <w:bookmarkStart w:id="1133" w:name="_Toc32441"/>
      <w:bookmarkStart w:id="1134" w:name="_Toc21409"/>
      <w:bookmarkStart w:id="1135" w:name="_Toc22495"/>
      <w:r>
        <w:rPr>
          <w:color w:val="auto"/>
          <w:highlight w:val="none"/>
        </w:rPr>
        <w:t>按照</w:t>
      </w:r>
      <w:r>
        <w:rPr>
          <w:rFonts w:hint="eastAsia"/>
          <w:color w:val="auto"/>
          <w:highlight w:val="none"/>
          <w:lang w:eastAsia="zh-CN"/>
        </w:rPr>
        <w:t>“</w:t>
      </w:r>
      <w:r>
        <w:rPr>
          <w:color w:val="auto"/>
          <w:highlight w:val="none"/>
        </w:rPr>
        <w:t>减量化、资源化、无害化</w:t>
      </w:r>
      <w:r>
        <w:rPr>
          <w:rFonts w:hint="eastAsia"/>
          <w:color w:val="auto"/>
          <w:highlight w:val="none"/>
          <w:lang w:eastAsia="zh-CN"/>
        </w:rPr>
        <w:t>”</w:t>
      </w:r>
      <w:r>
        <w:rPr>
          <w:color w:val="auto"/>
          <w:highlight w:val="none"/>
        </w:rPr>
        <w:t>原则，对固体废物进行分类收集、处理和处置。</w:t>
      </w:r>
      <w:r>
        <w:rPr>
          <w:rFonts w:hint="eastAsia"/>
          <w:color w:val="auto"/>
          <w:highlight w:val="none"/>
        </w:rPr>
        <w:t>本项目运营期固体废物主要为浆料分离产生的杂质、污水处理站固体废物、燃料灰渣、锅炉炉渣和捕集到的飞灰、废离子交换树脂、废润滑油，废</w:t>
      </w:r>
      <w:r>
        <w:rPr>
          <w:rFonts w:hint="eastAsia"/>
          <w:color w:val="auto"/>
          <w:highlight w:val="none"/>
          <w:lang w:eastAsia="zh-CN"/>
        </w:rPr>
        <w:t>活性炭。</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bookmarkStart w:id="1136" w:name="_bookmark96"/>
      <w:bookmarkEnd w:id="1136"/>
      <w:r>
        <w:rPr>
          <w:rFonts w:hint="eastAsia"/>
          <w:b/>
          <w:bCs/>
          <w:color w:val="auto"/>
          <w:highlight w:val="none"/>
          <w:lang w:val="en-US" w:eastAsia="zh-CN"/>
        </w:rPr>
        <w:t>6.3.4.1</w:t>
      </w:r>
      <w:r>
        <w:rPr>
          <w:b/>
          <w:bCs/>
          <w:color w:val="auto"/>
          <w:highlight w:val="none"/>
        </w:rPr>
        <w:t>危险废物的处置措施</w:t>
      </w:r>
    </w:p>
    <w:p>
      <w:pPr>
        <w:bidi w:val="0"/>
        <w:rPr>
          <w:color w:val="auto"/>
          <w:sz w:val="24"/>
          <w:highlight w:val="none"/>
        </w:rPr>
      </w:pPr>
      <w:r>
        <w:rPr>
          <w:color w:val="auto"/>
          <w:sz w:val="24"/>
          <w:highlight w:val="none"/>
        </w:rPr>
        <w:t>本项目危险废物为废</w:t>
      </w:r>
      <w:r>
        <w:rPr>
          <w:rFonts w:hint="eastAsia"/>
          <w:color w:val="auto"/>
          <w:sz w:val="24"/>
          <w:highlight w:val="none"/>
          <w:lang w:eastAsia="zh-CN"/>
        </w:rPr>
        <w:t>润滑油、废活性炭</w:t>
      </w:r>
      <w:r>
        <w:rPr>
          <w:color w:val="auto"/>
          <w:sz w:val="24"/>
          <w:highlight w:val="none"/>
        </w:rPr>
        <w:t>，拟贮存于危废临贮存间内，该危废临时贮存间需严格按照《危险废物贮存污染控制标准》</w:t>
      </w:r>
      <w:r>
        <w:rPr>
          <w:rFonts w:hint="eastAsia"/>
          <w:color w:val="auto"/>
          <w:sz w:val="24"/>
          <w:highlight w:val="none"/>
          <w:lang w:eastAsia="zh-CN"/>
        </w:rPr>
        <w:t>（</w:t>
      </w:r>
      <w:r>
        <w:rPr>
          <w:color w:val="auto"/>
          <w:sz w:val="24"/>
          <w:highlight w:val="none"/>
        </w:rPr>
        <w:t>GB18597-20</w:t>
      </w:r>
      <w:r>
        <w:rPr>
          <w:rFonts w:hint="eastAsia"/>
          <w:color w:val="auto"/>
          <w:sz w:val="24"/>
          <w:highlight w:val="none"/>
          <w:lang w:val="en-US" w:eastAsia="zh-CN"/>
        </w:rPr>
        <w:t>23</w:t>
      </w:r>
      <w:r>
        <w:rPr>
          <w:color w:val="auto"/>
          <w:sz w:val="24"/>
          <w:highlight w:val="none"/>
        </w:rPr>
        <w:t>）和环境保护部公告2013年第36号文中的有关规定执行及建设，同时还需委托有资质的单位处置。根据《中华人民共和国固体废物污染环境防治法》、《危险废物收集、贮存、运输技术规范》</w:t>
      </w:r>
      <w:r>
        <w:rPr>
          <w:rFonts w:hint="eastAsia"/>
          <w:color w:val="auto"/>
          <w:sz w:val="24"/>
          <w:highlight w:val="none"/>
          <w:lang w:eastAsia="zh-CN"/>
        </w:rPr>
        <w:t>（</w:t>
      </w:r>
      <w:r>
        <w:rPr>
          <w:color w:val="auto"/>
          <w:sz w:val="24"/>
          <w:highlight w:val="none"/>
        </w:rPr>
        <w:t>HJ2025-2012）环保部2013年36号公告，项目在运营过程中，按照以下要求管理危险废物：</w:t>
      </w:r>
    </w:p>
    <w:p>
      <w:pPr>
        <w:bidi w:val="0"/>
        <w:rPr>
          <w:color w:val="auto"/>
          <w:sz w:val="24"/>
          <w:highlight w:val="none"/>
        </w:rPr>
      </w:pPr>
      <w:r>
        <w:rPr>
          <w:color w:val="auto"/>
          <w:sz w:val="24"/>
          <w:highlight w:val="none"/>
        </w:rPr>
        <w:t>a应加强危险废物管理，制定危险废物管理计划和应急预案，并报当地环保部门备案。对员工进行培训，提高全体人员对危险废物管理的认识。确保相关管理人员和从事危废收集、运送、暂存等工作的人员掌握国家相关法律法规、规章和有关规范性文件的规定，熟悉本单位制定的危险废物管理规章制度、工作流程和应急预案等各项工作要求；掌握危险废物分类收集、运送、暂存的正确方法和操作程序，提高安全防护和应急处置能力。</w:t>
      </w:r>
    </w:p>
    <w:p>
      <w:pPr>
        <w:bidi w:val="0"/>
        <w:rPr>
          <w:color w:val="auto"/>
          <w:sz w:val="24"/>
          <w:highlight w:val="none"/>
        </w:rPr>
      </w:pPr>
      <w:r>
        <w:rPr>
          <w:color w:val="auto"/>
          <w:sz w:val="24"/>
          <w:highlight w:val="none"/>
        </w:rPr>
        <w:t>b建设单位必须严格按照《危险废物收集贮存运输技术规范》的要求来进行危险废物的收集、贮存和运输。危险废物的收集、贮存，须按照其特性分类进行。禁止混合收集、贮存、运输、处置性质不相容而未经安全性处置的危废。盛装危废的容器和包装物，要确保无破损、泄漏和其他缺陷，并依据《危险废物贮存污染控制标准》</w:t>
      </w:r>
      <w:r>
        <w:rPr>
          <w:rFonts w:hint="eastAsia"/>
          <w:color w:val="auto"/>
          <w:sz w:val="24"/>
          <w:highlight w:val="none"/>
          <w:lang w:eastAsia="zh-CN"/>
        </w:rPr>
        <w:t>（</w:t>
      </w:r>
      <w:r>
        <w:rPr>
          <w:color w:val="auto"/>
          <w:sz w:val="24"/>
          <w:highlight w:val="none"/>
        </w:rPr>
        <w:t>GB18597-</w:t>
      </w:r>
      <w:r>
        <w:rPr>
          <w:rFonts w:hint="eastAsia"/>
          <w:color w:val="auto"/>
          <w:sz w:val="24"/>
          <w:highlight w:val="none"/>
          <w:lang w:val="en-US" w:eastAsia="zh-CN"/>
        </w:rPr>
        <w:t>2023</w:t>
      </w:r>
      <w:r>
        <w:rPr>
          <w:color w:val="auto"/>
          <w:sz w:val="24"/>
          <w:highlight w:val="none"/>
        </w:rPr>
        <w:t>）规范建设危废贮存场所并设置危废标识。危险废物运输应由持有危险废物经营许可证的单位按照其许可证的经营范围组织实施，承担危险废物运输的单位应获得交通运输部门颁发的危险货物运输资质。</w:t>
      </w:r>
    </w:p>
    <w:p>
      <w:pPr>
        <w:bidi w:val="0"/>
        <w:rPr>
          <w:color w:val="auto"/>
          <w:sz w:val="24"/>
          <w:highlight w:val="none"/>
        </w:rPr>
      </w:pPr>
      <w:r>
        <w:rPr>
          <w:color w:val="auto"/>
          <w:sz w:val="24"/>
          <w:highlight w:val="none"/>
        </w:rPr>
        <w:t>c建危险废物临时存放间。危险废物临时贮存间必须密闭建设，门口内侧设立围堰，地面应做好硬化及</w:t>
      </w:r>
      <w:r>
        <w:rPr>
          <w:rFonts w:hint="eastAsia"/>
          <w:color w:val="auto"/>
          <w:sz w:val="24"/>
          <w:highlight w:val="none"/>
          <w:lang w:eastAsia="zh-CN"/>
        </w:rPr>
        <w:t>“</w:t>
      </w:r>
      <w:r>
        <w:rPr>
          <w:color w:val="auto"/>
          <w:sz w:val="24"/>
          <w:highlight w:val="none"/>
        </w:rPr>
        <w:t>三防</w:t>
      </w:r>
      <w:r>
        <w:rPr>
          <w:rFonts w:hint="eastAsia"/>
          <w:color w:val="auto"/>
          <w:sz w:val="24"/>
          <w:highlight w:val="none"/>
          <w:lang w:eastAsia="zh-CN"/>
        </w:rPr>
        <w:t>”</w:t>
      </w:r>
      <w:r>
        <w:rPr>
          <w:color w:val="auto"/>
          <w:sz w:val="24"/>
          <w:highlight w:val="none"/>
        </w:rPr>
        <w:t>措施</w:t>
      </w:r>
      <w:r>
        <w:rPr>
          <w:rFonts w:hint="eastAsia"/>
          <w:color w:val="auto"/>
          <w:sz w:val="24"/>
          <w:highlight w:val="none"/>
          <w:lang w:eastAsia="zh-CN"/>
        </w:rPr>
        <w:t>（</w:t>
      </w:r>
      <w:r>
        <w:rPr>
          <w:color w:val="auto"/>
          <w:sz w:val="24"/>
          <w:highlight w:val="none"/>
        </w:rPr>
        <w:t>防扬散、防流失和防渗漏）；危险废物临时贮存间门口需张贴标准规范的危险废物标识和危废信息板，屋内张贴企业《危险废物管理制度》；危废间需专人管理；不同种类危险废物应有明显的过道划分，墙上张贴危废名称，液体危废需将</w:t>
      </w:r>
      <w:r>
        <w:rPr>
          <w:rFonts w:hint="eastAsia"/>
          <w:color w:val="auto"/>
          <w:sz w:val="24"/>
          <w:highlight w:val="none"/>
          <w:lang w:eastAsia="zh-CN"/>
        </w:rPr>
        <w:t>盛装</w:t>
      </w:r>
      <w:r>
        <w:rPr>
          <w:color w:val="auto"/>
          <w:sz w:val="24"/>
          <w:highlight w:val="none"/>
        </w:rPr>
        <w:t>容器放至防泄漏托盘内并在容器粘贴危险废物标签，并按要求填写；建立健全危险废物管理台账；禁止将危废混入非危险废物中贮存，并且，贮存时间不得超过一年。</w:t>
      </w:r>
    </w:p>
    <w:p>
      <w:pPr>
        <w:bidi w:val="0"/>
        <w:rPr>
          <w:color w:val="auto"/>
          <w:sz w:val="24"/>
          <w:highlight w:val="none"/>
        </w:rPr>
      </w:pPr>
      <w:r>
        <w:rPr>
          <w:color w:val="auto"/>
          <w:sz w:val="24"/>
          <w:highlight w:val="none"/>
        </w:rPr>
        <w:t>d严格执行危险废物转移管理制度，禁止将危险废物提供或委托给无危险废物经营许可证的单位从事收集、贮存、利用、处置等经营活动。</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eastAsia="宋体" w:cs="Times New Roman"/>
          <w:b/>
          <w:bCs/>
          <w:color w:val="auto"/>
          <w:highlight w:val="none"/>
        </w:rPr>
      </w:pPr>
      <w:bookmarkStart w:id="1137" w:name="_bookmark97"/>
      <w:bookmarkEnd w:id="1137"/>
      <w:r>
        <w:rPr>
          <w:rFonts w:ascii="Times New Roman" w:hAnsi="Times New Roman" w:eastAsia="宋体" w:cs="Times New Roman"/>
          <w:b/>
          <w:bCs/>
          <w:color w:val="auto"/>
          <w:highlight w:val="none"/>
        </w:rPr>
        <w:t>6</w:t>
      </w:r>
      <w:r>
        <w:rPr>
          <w:rFonts w:hint="eastAsia" w:ascii="Times New Roman" w:hAnsi="Times New Roman" w:eastAsia="宋体" w:cs="Times New Roman"/>
          <w:b/>
          <w:bCs/>
          <w:color w:val="auto"/>
          <w:highlight w:val="none"/>
          <w:lang w:val="en-US" w:eastAsia="zh-CN"/>
        </w:rPr>
        <w:t>.3.4.2</w:t>
      </w:r>
      <w:r>
        <w:rPr>
          <w:rFonts w:ascii="Times New Roman" w:hAnsi="Times New Roman" w:eastAsia="宋体" w:cs="Times New Roman"/>
          <w:b/>
          <w:bCs/>
          <w:color w:val="auto"/>
          <w:highlight w:val="none"/>
        </w:rPr>
        <w:t>一般固体废物处置措施</w:t>
      </w:r>
    </w:p>
    <w:p>
      <w:pPr>
        <w:bidi w:val="0"/>
        <w:ind w:left="0" w:leftChars="0" w:firstLine="480" w:firstLineChars="200"/>
        <w:rPr>
          <w:rFonts w:hint="eastAsia"/>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rPr>
        <w:t>）杂质</w:t>
      </w:r>
    </w:p>
    <w:p>
      <w:pPr>
        <w:bidi w:val="0"/>
        <w:rPr>
          <w:rFonts w:hint="eastAsia"/>
          <w:color w:val="auto"/>
          <w:sz w:val="24"/>
          <w:highlight w:val="none"/>
        </w:rPr>
      </w:pPr>
      <w:r>
        <w:rPr>
          <w:rFonts w:hint="eastAsia"/>
          <w:color w:val="auto"/>
          <w:sz w:val="24"/>
          <w:highlight w:val="none"/>
        </w:rPr>
        <w:t>除砂、纤维分离过程产生的砂、土、纤维等杂物，</w:t>
      </w:r>
      <w:r>
        <w:rPr>
          <w:rFonts w:hint="eastAsia"/>
          <w:color w:val="auto"/>
          <w:sz w:val="24"/>
          <w:highlight w:val="none"/>
          <w:lang w:val="en-US" w:eastAsia="zh-CN"/>
        </w:rPr>
        <w:t>定期外售给收购企业进行资源化利用</w:t>
      </w:r>
      <w:r>
        <w:rPr>
          <w:rFonts w:hint="eastAsia"/>
          <w:color w:val="auto"/>
          <w:sz w:val="24"/>
          <w:highlight w:val="none"/>
        </w:rPr>
        <w:t>。</w:t>
      </w:r>
    </w:p>
    <w:p>
      <w:pPr>
        <w:bidi w:val="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2</w:t>
      </w:r>
      <w:r>
        <w:rPr>
          <w:color w:val="auto"/>
          <w:sz w:val="24"/>
          <w:highlight w:val="none"/>
        </w:rPr>
        <w:t>）</w:t>
      </w:r>
      <w:r>
        <w:rPr>
          <w:rFonts w:hint="eastAsia"/>
          <w:color w:val="auto"/>
          <w:sz w:val="24"/>
          <w:highlight w:val="none"/>
          <w:lang w:eastAsia="zh-CN"/>
        </w:rPr>
        <w:t>污水处理站污泥</w:t>
      </w:r>
    </w:p>
    <w:p>
      <w:pPr>
        <w:bidi w:val="0"/>
        <w:rPr>
          <w:color w:val="auto"/>
          <w:sz w:val="24"/>
          <w:highlight w:val="none"/>
        </w:rPr>
      </w:pPr>
      <w:r>
        <w:rPr>
          <w:color w:val="auto"/>
          <w:sz w:val="24"/>
          <w:highlight w:val="none"/>
        </w:rPr>
        <w:t>废水处理设施产生的</w:t>
      </w:r>
      <w:r>
        <w:rPr>
          <w:rFonts w:hint="eastAsia"/>
          <w:color w:val="auto"/>
          <w:sz w:val="24"/>
          <w:highlight w:val="none"/>
        </w:rPr>
        <w:t>沉淀污泥经板框压滤后外售砖厂制砖</w:t>
      </w:r>
      <w:r>
        <w:rPr>
          <w:color w:val="auto"/>
          <w:sz w:val="24"/>
          <w:highlight w:val="none"/>
        </w:rPr>
        <w:t>。</w:t>
      </w:r>
    </w:p>
    <w:p>
      <w:pPr>
        <w:bidi w:val="0"/>
        <w:rPr>
          <w:rFonts w:hint="eastAsia"/>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3</w:t>
      </w:r>
      <w:r>
        <w:rPr>
          <w:rFonts w:hint="eastAsia"/>
          <w:color w:val="auto"/>
          <w:sz w:val="24"/>
          <w:highlight w:val="none"/>
        </w:rPr>
        <w:t>）锅炉灰渣</w:t>
      </w:r>
    </w:p>
    <w:p>
      <w:pPr>
        <w:bidi w:val="0"/>
        <w:rPr>
          <w:rFonts w:hint="eastAsia"/>
          <w:color w:val="auto"/>
          <w:sz w:val="24"/>
          <w:highlight w:val="none"/>
        </w:rPr>
      </w:pPr>
      <w:r>
        <w:rPr>
          <w:color w:val="auto"/>
          <w:sz w:val="24"/>
          <w:highlight w:val="none"/>
        </w:rPr>
        <w:t>锅炉炉渣和烟气除尘</w:t>
      </w:r>
      <w:r>
        <w:rPr>
          <w:rFonts w:hint="eastAsia"/>
          <w:color w:val="auto"/>
          <w:sz w:val="24"/>
          <w:highlight w:val="none"/>
        </w:rPr>
        <w:t>灰，</w:t>
      </w:r>
      <w:r>
        <w:rPr>
          <w:rFonts w:hint="eastAsia"/>
          <w:color w:val="auto"/>
          <w:sz w:val="24"/>
          <w:highlight w:val="none"/>
          <w:lang w:val="en-US" w:eastAsia="zh-CN"/>
        </w:rPr>
        <w:t>定期外售给收购企业进行资源化利用</w:t>
      </w:r>
      <w:r>
        <w:rPr>
          <w:rFonts w:hint="eastAsia"/>
          <w:color w:val="auto"/>
          <w:sz w:val="24"/>
          <w:highlight w:val="none"/>
        </w:rPr>
        <w:t>。</w:t>
      </w:r>
    </w:p>
    <w:p>
      <w:pPr>
        <w:bidi w:val="0"/>
        <w:rPr>
          <w:rFonts w:hint="eastAsia"/>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4</w:t>
      </w:r>
      <w:r>
        <w:rPr>
          <w:rFonts w:hint="eastAsia"/>
          <w:color w:val="auto"/>
          <w:sz w:val="24"/>
          <w:highlight w:val="none"/>
        </w:rPr>
        <w:t>）废离子交换树脂</w:t>
      </w:r>
    </w:p>
    <w:p>
      <w:pPr>
        <w:bidi w:val="0"/>
        <w:rPr>
          <w:rFonts w:hint="eastAsia" w:eastAsia="宋体"/>
          <w:color w:val="auto"/>
          <w:sz w:val="24"/>
          <w:highlight w:val="none"/>
          <w:lang w:eastAsia="zh-CN"/>
        </w:rPr>
      </w:pPr>
      <w:r>
        <w:rPr>
          <w:rFonts w:hint="eastAsia"/>
          <w:color w:val="auto"/>
          <w:sz w:val="24"/>
          <w:highlight w:val="none"/>
        </w:rPr>
        <w:t>本项目产生的固废主要为软化水系统中产生的废离子交换树脂。依据《国家危险废物名录》</w:t>
      </w:r>
      <w:r>
        <w:rPr>
          <w:rFonts w:hint="eastAsia"/>
          <w:color w:val="auto"/>
          <w:sz w:val="24"/>
          <w:highlight w:val="none"/>
          <w:lang w:eastAsia="zh-CN"/>
        </w:rPr>
        <w:t>（</w:t>
      </w:r>
      <w:r>
        <w:rPr>
          <w:rFonts w:hint="eastAsia"/>
          <w:color w:val="auto"/>
          <w:sz w:val="24"/>
          <w:highlight w:val="none"/>
        </w:rPr>
        <w:t>2021），锅炉软化水系统产生的废离子交换树脂已不属于危险废物，判定为一般工业固体废物。由生产厂家上门更换时回收处置</w:t>
      </w:r>
      <w:r>
        <w:rPr>
          <w:rFonts w:hint="eastAsia"/>
          <w:color w:val="auto"/>
          <w:sz w:val="24"/>
          <w:highlight w:val="none"/>
          <w:lang w:eastAsia="zh-CN"/>
        </w:rPr>
        <w:t>。</w:t>
      </w:r>
    </w:p>
    <w:p>
      <w:pPr>
        <w:bidi w:val="0"/>
        <w:rPr>
          <w:color w:val="auto"/>
          <w:sz w:val="24"/>
          <w:highlight w:val="none"/>
        </w:rPr>
      </w:pPr>
      <w:r>
        <w:rPr>
          <w:color w:val="auto"/>
          <w:sz w:val="24"/>
          <w:highlight w:val="none"/>
        </w:rPr>
        <w:t>经过以上处理后，项目固废在临时堆存时不会对区域地表水、地下水和土壤造成影响。因此，评价认为项目固废处置措施可行。</w:t>
      </w:r>
    </w:p>
    <w:p>
      <w:pPr>
        <w:pStyle w:val="7"/>
        <w:keepNext/>
        <w:keepLines/>
        <w:numPr>
          <w:ilvl w:val="0"/>
          <w:numId w:val="0"/>
        </w:numPr>
        <w:autoSpaceDE/>
        <w:autoSpaceDN/>
        <w:bidi w:val="0"/>
        <w:adjustRightInd w:val="0"/>
        <w:spacing w:before="0" w:after="0" w:line="500" w:lineRule="exact"/>
        <w:ind w:left="0" w:leftChars="0" w:right="0" w:firstLine="0" w:firstLineChars="0"/>
        <w:jc w:val="both"/>
        <w:outlineLvl w:val="2"/>
        <w:rPr>
          <w:rFonts w:ascii="Times New Roman" w:hAnsi="Times New Roman" w:eastAsia="宋体" w:cs="Times New Roman"/>
          <w:bCs w:val="0"/>
          <w:color w:val="auto"/>
          <w:szCs w:val="20"/>
          <w:highlight w:val="none"/>
          <w:lang w:val="en-US" w:bidi="ar-SA"/>
        </w:rPr>
      </w:pPr>
      <w:bookmarkStart w:id="1138" w:name="_Toc28157"/>
      <w:r>
        <w:rPr>
          <w:rFonts w:ascii="Times New Roman" w:hAnsi="Times New Roman" w:eastAsia="宋体" w:cs="Times New Roman"/>
          <w:bCs w:val="0"/>
          <w:color w:val="auto"/>
          <w:szCs w:val="20"/>
          <w:highlight w:val="none"/>
          <w:lang w:val="en-US" w:bidi="ar-SA"/>
        </w:rPr>
        <w:t>6.3.5地下水环境保护措施</w:t>
      </w:r>
      <w:bookmarkEnd w:id="1131"/>
      <w:bookmarkEnd w:id="1132"/>
      <w:bookmarkEnd w:id="1133"/>
      <w:bookmarkEnd w:id="1134"/>
      <w:bookmarkEnd w:id="1135"/>
      <w:bookmarkEnd w:id="1138"/>
    </w:p>
    <w:p>
      <w:pPr>
        <w:bidi w:val="0"/>
        <w:rPr>
          <w:rFonts w:ascii="Times New Roman" w:hAnsi="Times New Roman" w:eastAsia="宋体" w:cs="Times New Roman"/>
          <w:caps w:val="0"/>
          <w:smallCaps w:val="0"/>
          <w:snapToGrid w:val="0"/>
          <w:color w:val="auto"/>
          <w:spacing w:val="0"/>
          <w:w w:val="99"/>
          <w:position w:val="0"/>
          <w:highlight w:val="none"/>
        </w:rPr>
      </w:pPr>
      <w:r>
        <w:rPr>
          <w:color w:val="auto"/>
          <w:highlight w:val="none"/>
        </w:rPr>
        <w:t>地下水环境保护措施与对策符合《中华人民共和国水污染防治法》和《中华人民共和国环境影响评价法》的相关规定，按照</w:t>
      </w:r>
      <w:r>
        <w:rPr>
          <w:rFonts w:hint="eastAsia"/>
          <w:color w:val="auto"/>
          <w:highlight w:val="none"/>
          <w:lang w:eastAsia="zh-CN"/>
        </w:rPr>
        <w:t>“</w:t>
      </w:r>
      <w:r>
        <w:rPr>
          <w:color w:val="auto"/>
          <w:highlight w:val="none"/>
        </w:rPr>
        <w:t>源头控制、分区防控、污染监控、应急响应</w:t>
      </w:r>
      <w:r>
        <w:rPr>
          <w:rFonts w:hint="eastAsia"/>
          <w:color w:val="auto"/>
          <w:highlight w:val="none"/>
          <w:lang w:eastAsia="zh-CN"/>
        </w:rPr>
        <w:t>”</w:t>
      </w:r>
      <w:r>
        <w:rPr>
          <w:color w:val="auto"/>
          <w:highlight w:val="none"/>
        </w:rPr>
        <w:t>，提出地下水环境保护措施和对策。</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bookmarkStart w:id="1139" w:name="_Toc31291"/>
      <w:bookmarkStart w:id="1140" w:name="_Toc11536"/>
      <w:bookmarkStart w:id="1141" w:name="_Toc14872"/>
      <w:bookmarkStart w:id="1142" w:name="_Toc21919"/>
      <w:bookmarkStart w:id="1143" w:name="_Toc25995"/>
      <w:bookmarkStart w:id="1144" w:name="_Toc10850"/>
      <w:bookmarkStart w:id="1145" w:name="_Toc10447"/>
      <w:r>
        <w:rPr>
          <w:b/>
          <w:bCs/>
          <w:color w:val="auto"/>
          <w:highlight w:val="none"/>
        </w:rPr>
        <w:t>6.3.5.1源头控制措施</w:t>
      </w:r>
      <w:bookmarkEnd w:id="1139"/>
      <w:bookmarkEnd w:id="1140"/>
      <w:bookmarkEnd w:id="1141"/>
      <w:bookmarkEnd w:id="1142"/>
      <w:bookmarkEnd w:id="1143"/>
      <w:bookmarkEnd w:id="1144"/>
      <w:bookmarkEnd w:id="1145"/>
    </w:p>
    <w:p>
      <w:pPr>
        <w:bidi w:val="0"/>
        <w:rPr>
          <w:color w:val="auto"/>
          <w:highlight w:val="none"/>
        </w:rPr>
      </w:pPr>
      <w:r>
        <w:rPr>
          <w:color w:val="auto"/>
          <w:highlight w:val="none"/>
        </w:rPr>
        <w:t>一、工程在开发建设阶段，应充分做好污水管道的防渗处理，杜绝污水渗漏，确保污水收集处理系统衔接良好，严格用水管理，防止污水</w:t>
      </w:r>
      <w:r>
        <w:rPr>
          <w:rFonts w:hint="eastAsia"/>
          <w:color w:val="auto"/>
          <w:highlight w:val="none"/>
          <w:lang w:eastAsia="zh-CN"/>
        </w:rPr>
        <w:t>“</w:t>
      </w:r>
      <w:r>
        <w:rPr>
          <w:color w:val="auto"/>
          <w:highlight w:val="none"/>
        </w:rPr>
        <w:t>跑、冒、滴、漏</w:t>
      </w:r>
      <w:r>
        <w:rPr>
          <w:rFonts w:hint="eastAsia"/>
          <w:color w:val="auto"/>
          <w:highlight w:val="none"/>
          <w:lang w:eastAsia="zh-CN"/>
        </w:rPr>
        <w:t>”</w:t>
      </w:r>
      <w:r>
        <w:rPr>
          <w:color w:val="auto"/>
          <w:highlight w:val="none"/>
        </w:rPr>
        <w:t>现象的发生，这样可以保证项目区内产生的全部废水得到集中处理，可以最大</w:t>
      </w:r>
      <w:r>
        <w:rPr>
          <w:rFonts w:hint="eastAsia"/>
          <w:color w:val="auto"/>
          <w:highlight w:val="none"/>
          <w:lang w:eastAsia="zh-CN"/>
        </w:rPr>
        <w:t>程度地避免</w:t>
      </w:r>
      <w:r>
        <w:rPr>
          <w:color w:val="auto"/>
          <w:highlight w:val="none"/>
        </w:rPr>
        <w:t>污染物排放对地下水环境的影响。</w:t>
      </w:r>
    </w:p>
    <w:p>
      <w:pPr>
        <w:bidi w:val="0"/>
        <w:rPr>
          <w:color w:val="auto"/>
          <w:highlight w:val="none"/>
        </w:rPr>
      </w:pPr>
      <w:r>
        <w:rPr>
          <w:color w:val="auto"/>
          <w:highlight w:val="none"/>
        </w:rPr>
        <w:t>二、地下管道采取的防渗措施如下：地下管道选用钢管，焊接连接，在管道壁厚设计上加大腐蚀裕量，并且采用最高级别的外防腐层。防渗结构采用封闭钢筋混凝土管沟防渗结构，防止污水下渗对地下水造成污染。</w:t>
      </w:r>
    </w:p>
    <w:p>
      <w:pPr>
        <w:bidi w:val="0"/>
        <w:rPr>
          <w:color w:val="auto"/>
          <w:highlight w:val="none"/>
        </w:rPr>
      </w:pPr>
      <w:r>
        <w:rPr>
          <w:color w:val="auto"/>
          <w:highlight w:val="none"/>
        </w:rPr>
        <w:t>三、</w:t>
      </w:r>
      <w:r>
        <w:rPr>
          <w:rFonts w:hint="eastAsia"/>
          <w:color w:val="auto"/>
          <w:highlight w:val="none"/>
          <w:lang w:val="en-US" w:eastAsia="zh-CN"/>
        </w:rPr>
        <w:t>污</w:t>
      </w:r>
      <w:r>
        <w:rPr>
          <w:color w:val="auto"/>
          <w:highlight w:val="none"/>
        </w:rPr>
        <w:t>水池、</w:t>
      </w:r>
      <w:r>
        <w:rPr>
          <w:rFonts w:hint="eastAsia"/>
          <w:color w:val="auto"/>
          <w:highlight w:val="none"/>
          <w:lang w:val="en-US" w:eastAsia="zh-CN"/>
        </w:rPr>
        <w:t>曝气</w:t>
      </w:r>
      <w:r>
        <w:rPr>
          <w:color w:val="auto"/>
          <w:highlight w:val="none"/>
        </w:rPr>
        <w:t>池、污泥干化池</w:t>
      </w:r>
      <w:r>
        <w:rPr>
          <w:rFonts w:hint="eastAsia"/>
          <w:color w:val="auto"/>
          <w:highlight w:val="none"/>
          <w:lang w:val="en-US" w:eastAsia="zh-CN"/>
        </w:rPr>
        <w:t>及应急事故池</w:t>
      </w:r>
      <w:r>
        <w:rPr>
          <w:color w:val="auto"/>
          <w:highlight w:val="none"/>
        </w:rPr>
        <w:t>等池体应做好防渗，防渗等级应达到</w:t>
      </w:r>
      <w:r>
        <w:rPr>
          <w:color w:val="auto"/>
          <w:highlight w:val="none"/>
          <w:lang w:val="zh-CN"/>
        </w:rPr>
        <w:t>等效黏土防渗层Mb&gt;1.5m，K&lt;1×10</w:t>
      </w:r>
      <w:r>
        <w:rPr>
          <w:color w:val="auto"/>
          <w:highlight w:val="none"/>
          <w:vertAlign w:val="superscript"/>
          <w:lang w:val="zh-CN"/>
        </w:rPr>
        <w:t>-7</w:t>
      </w:r>
      <w:r>
        <w:rPr>
          <w:color w:val="auto"/>
          <w:highlight w:val="none"/>
          <w:lang w:val="zh-CN"/>
        </w:rPr>
        <w:t>cm/s要求，或参照GB16889执行</w:t>
      </w:r>
      <w:r>
        <w:rPr>
          <w:color w:val="auto"/>
          <w:highlight w:val="none"/>
        </w:rPr>
        <w:t>，防止污水下渗污染地下水。</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rFonts w:ascii="Times New Roman" w:hAnsi="Times New Roman" w:eastAsia="宋体" w:cs="Times New Roman"/>
          <w:b/>
          <w:bCs/>
          <w:color w:val="auto"/>
          <w:highlight w:val="none"/>
        </w:rPr>
      </w:pPr>
      <w:bookmarkStart w:id="1146" w:name="_Toc22496"/>
      <w:bookmarkStart w:id="1147" w:name="_Toc15911"/>
      <w:bookmarkStart w:id="1148" w:name="_Toc14045"/>
      <w:bookmarkStart w:id="1149" w:name="_Toc21450"/>
      <w:bookmarkStart w:id="1150" w:name="_Toc13308"/>
      <w:bookmarkStart w:id="1151" w:name="_Toc15890"/>
      <w:bookmarkStart w:id="1152" w:name="_Toc30072"/>
      <w:r>
        <w:rPr>
          <w:rFonts w:ascii="Times New Roman" w:hAnsi="Times New Roman" w:eastAsia="宋体" w:cs="Times New Roman"/>
          <w:b/>
          <w:bCs/>
          <w:color w:val="auto"/>
          <w:highlight w:val="none"/>
        </w:rPr>
        <w:t>6.3.5.2分区防控措施</w:t>
      </w:r>
      <w:bookmarkEnd w:id="1146"/>
      <w:bookmarkEnd w:id="1147"/>
      <w:bookmarkEnd w:id="1148"/>
      <w:bookmarkEnd w:id="1149"/>
      <w:bookmarkEnd w:id="1150"/>
      <w:bookmarkEnd w:id="1151"/>
      <w:bookmarkEnd w:id="1152"/>
    </w:p>
    <w:p>
      <w:pPr>
        <w:bidi w:val="0"/>
        <w:rPr>
          <w:color w:val="auto"/>
          <w:highlight w:val="none"/>
        </w:rPr>
      </w:pPr>
      <w:r>
        <w:rPr>
          <w:rFonts w:hint="eastAsia"/>
          <w:color w:val="auto"/>
          <w:highlight w:val="none"/>
          <w:lang w:eastAsia="zh-CN"/>
        </w:rPr>
        <w:t>（</w:t>
      </w:r>
      <w:r>
        <w:rPr>
          <w:color w:val="auto"/>
          <w:highlight w:val="none"/>
        </w:rPr>
        <w:t>一）污染防控区划分</w:t>
      </w:r>
    </w:p>
    <w:p>
      <w:pPr>
        <w:bidi w:val="0"/>
        <w:rPr>
          <w:color w:val="auto"/>
          <w:highlight w:val="none"/>
          <w:lang w:val="zh-CN"/>
        </w:rPr>
      </w:pPr>
      <w:r>
        <w:rPr>
          <w:color w:val="auto"/>
          <w:highlight w:val="none"/>
          <w:lang w:val="zh-CN"/>
        </w:rPr>
        <w:t>《环境影响评价技术导则地下水环境》</w:t>
      </w:r>
      <w:r>
        <w:rPr>
          <w:rFonts w:hint="eastAsia"/>
          <w:color w:val="auto"/>
          <w:highlight w:val="none"/>
          <w:lang w:val="zh-CN"/>
        </w:rPr>
        <w:t>（</w:t>
      </w:r>
      <w:r>
        <w:rPr>
          <w:color w:val="auto"/>
          <w:highlight w:val="none"/>
          <w:lang w:val="zh-CN"/>
        </w:rPr>
        <w:t>HJ610-2016</w:t>
      </w:r>
      <w:r>
        <w:rPr>
          <w:rFonts w:hint="eastAsia"/>
          <w:color w:val="auto"/>
          <w:highlight w:val="none"/>
          <w:lang w:val="zh-CN"/>
        </w:rPr>
        <w:t>）</w:t>
      </w:r>
      <w:r>
        <w:rPr>
          <w:color w:val="auto"/>
          <w:highlight w:val="none"/>
          <w:lang w:val="zh-CN"/>
        </w:rPr>
        <w:t>将地下水污染防渗分区分为三个级别：重点防渗区、一般防渗区、简单防渗区，本项目地下水污染防渗区为污水系统，防渗分区判定如下。</w:t>
      </w:r>
    </w:p>
    <w:p>
      <w:pPr>
        <w:bidi w:val="0"/>
        <w:rPr>
          <w:color w:val="auto"/>
          <w:highlight w:val="none"/>
        </w:rPr>
      </w:pPr>
      <w:r>
        <w:rPr>
          <w:color w:val="auto"/>
          <w:highlight w:val="none"/>
        </w:rPr>
        <w:t>表6.3</w:t>
      </w:r>
      <w:r>
        <w:rPr>
          <w:rFonts w:hint="eastAsia"/>
          <w:color w:val="auto"/>
          <w:highlight w:val="none"/>
          <w:lang w:val="en-US" w:eastAsia="zh-CN"/>
        </w:rPr>
        <w:t>.5.2-1</w:t>
      </w:r>
      <w:r>
        <w:rPr>
          <w:color w:val="auto"/>
          <w:highlight w:val="none"/>
        </w:rPr>
        <w:t xml:space="preserve">  </w:t>
      </w:r>
      <w:r>
        <w:rPr>
          <w:rFonts w:hint="eastAsia"/>
          <w:color w:val="auto"/>
          <w:highlight w:val="none"/>
          <w:lang w:val="en-US" w:eastAsia="zh-CN"/>
        </w:rPr>
        <w:t xml:space="preserve">            </w:t>
      </w:r>
      <w:r>
        <w:rPr>
          <w:color w:val="auto"/>
          <w:highlight w:val="none"/>
        </w:rPr>
        <w:t>污染控制难易程度分级参照表</w:t>
      </w:r>
    </w:p>
    <w:tbl>
      <w:tblPr>
        <w:tblStyle w:val="23"/>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1"/>
        <w:gridCol w:w="7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污染控制难易程度</w:t>
            </w:r>
          </w:p>
        </w:tc>
        <w:tc>
          <w:tcPr>
            <w:tcW w:w="70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难</w:t>
            </w:r>
          </w:p>
        </w:tc>
        <w:tc>
          <w:tcPr>
            <w:tcW w:w="70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对地下水环境有污染的物料或污染物泄漏后，不能及时发现和处理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w:t>
            </w:r>
          </w:p>
        </w:tc>
        <w:tc>
          <w:tcPr>
            <w:tcW w:w="70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对地下水环境有污染的物料或污染物泄漏后，可及时发现和处理</w:t>
            </w:r>
          </w:p>
        </w:tc>
      </w:tr>
    </w:tbl>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w:t>
      </w:r>
      <w:r>
        <w:rPr>
          <w:color w:val="auto"/>
          <w:highlight w:val="none"/>
        </w:rPr>
        <w:t>6.3</w:t>
      </w:r>
      <w:r>
        <w:rPr>
          <w:rFonts w:hint="eastAsia"/>
          <w:color w:val="auto"/>
          <w:highlight w:val="none"/>
          <w:lang w:val="en-US" w:eastAsia="zh-CN"/>
        </w:rPr>
        <w:t>.5.2-2</w:t>
      </w:r>
      <w:r>
        <w:rPr>
          <w:rFonts w:hint="eastAsia" w:ascii="Times New Roman" w:hAnsi="Times New Roman" w:eastAsia="宋体" w:cs="Times New Roman"/>
          <w:color w:val="auto"/>
          <w:highlight w:val="none"/>
          <w:lang w:val="en-US" w:eastAsia="zh-CN"/>
        </w:rPr>
        <w:t xml:space="preserve">              天然包气带防污性能分级参照表</w:t>
      </w:r>
    </w:p>
    <w:tbl>
      <w:tblPr>
        <w:tblStyle w:val="23"/>
        <w:tblW w:w="92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4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分级</w:t>
            </w:r>
          </w:p>
        </w:tc>
        <w:tc>
          <w:tcPr>
            <w:tcW w:w="84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包气带岩土的渗透性能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强</w:t>
            </w:r>
          </w:p>
        </w:tc>
        <w:tc>
          <w:tcPr>
            <w:tcW w:w="84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岩</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土）层单层厚度Mb≥1.0m，渗透系数K≤1X10</w:t>
            </w:r>
            <w:r>
              <w:rPr>
                <w:rFonts w:ascii="Times New Roman" w:hAnsi="Times New Roman" w:eastAsia="宋体" w:cs="Times New Roman"/>
                <w:color w:val="auto"/>
                <w:w w:val="100"/>
                <w:sz w:val="21"/>
                <w:highlight w:val="none"/>
                <w:vertAlign w:val="superscript"/>
              </w:rPr>
              <w:t>-6</w:t>
            </w:r>
            <w:r>
              <w:rPr>
                <w:rFonts w:ascii="Times New Roman" w:hAnsi="Times New Roman" w:eastAsia="宋体" w:cs="Times New Roman"/>
                <w:color w:val="auto"/>
                <w:w w:val="100"/>
                <w:sz w:val="21"/>
                <w:highlight w:val="none"/>
              </w:rPr>
              <w:t>cm/s，且分布连续、稳定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w:t>
            </w:r>
          </w:p>
        </w:tc>
        <w:tc>
          <w:tcPr>
            <w:tcW w:w="84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岩</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土）层单层厚度0.5m≤Mb＜1.0m，渗透系数K≤1×10</w:t>
            </w:r>
            <w:r>
              <w:rPr>
                <w:rFonts w:ascii="Times New Roman" w:hAnsi="Times New Roman" w:eastAsia="宋体" w:cs="Times New Roman"/>
                <w:color w:val="auto"/>
                <w:w w:val="100"/>
                <w:sz w:val="21"/>
                <w:highlight w:val="none"/>
                <w:vertAlign w:val="superscript"/>
              </w:rPr>
              <w:t>-6</w:t>
            </w:r>
            <w:r>
              <w:rPr>
                <w:rFonts w:ascii="Times New Roman" w:hAnsi="Times New Roman" w:eastAsia="宋体" w:cs="Times New Roman"/>
                <w:color w:val="auto"/>
                <w:w w:val="100"/>
                <w:sz w:val="21"/>
                <w:highlight w:val="none"/>
              </w:rPr>
              <w:t>cm/s，且分布连续、稳定</w:t>
            </w:r>
          </w:p>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岩</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土）层单层厚度Mb≥1.0m，渗透系数1×10</w:t>
            </w:r>
            <w:r>
              <w:rPr>
                <w:rFonts w:ascii="Times New Roman" w:hAnsi="Times New Roman" w:eastAsia="宋体" w:cs="Times New Roman"/>
                <w:color w:val="auto"/>
                <w:w w:val="100"/>
                <w:sz w:val="21"/>
                <w:highlight w:val="none"/>
                <w:vertAlign w:val="superscript"/>
              </w:rPr>
              <w:t>-6</w:t>
            </w:r>
            <w:r>
              <w:rPr>
                <w:rFonts w:ascii="Times New Roman" w:hAnsi="Times New Roman" w:eastAsia="宋体" w:cs="Times New Roman"/>
                <w:color w:val="auto"/>
                <w:w w:val="100"/>
                <w:sz w:val="21"/>
                <w:highlight w:val="none"/>
              </w:rPr>
              <w:t>cm/s＜K≤1×10</w:t>
            </w:r>
            <w:r>
              <w:rPr>
                <w:rFonts w:ascii="Times New Roman" w:hAnsi="Times New Roman" w:eastAsia="宋体" w:cs="Times New Roman"/>
                <w:color w:val="auto"/>
                <w:w w:val="100"/>
                <w:sz w:val="21"/>
                <w:highlight w:val="none"/>
                <w:vertAlign w:val="superscript"/>
              </w:rPr>
              <w:t>-4</w:t>
            </w:r>
            <w:r>
              <w:rPr>
                <w:rFonts w:ascii="Times New Roman" w:hAnsi="Times New Roman" w:eastAsia="宋体" w:cs="Times New Roman"/>
                <w:color w:val="auto"/>
                <w:w w:val="100"/>
                <w:sz w:val="21"/>
                <w:highlight w:val="none"/>
              </w:rPr>
              <w:t>cm/s，且分布连续、稳定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0"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弱</w:t>
            </w:r>
          </w:p>
        </w:tc>
        <w:tc>
          <w:tcPr>
            <w:tcW w:w="843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岩</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土）层不满足上述</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强</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和</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中</w:t>
            </w: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条件</w:t>
            </w:r>
          </w:p>
        </w:tc>
      </w:tr>
    </w:tbl>
    <w:p>
      <w:pPr>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w:t>
      </w:r>
      <w:r>
        <w:rPr>
          <w:color w:val="auto"/>
          <w:highlight w:val="none"/>
        </w:rPr>
        <w:t>6.3</w:t>
      </w:r>
      <w:r>
        <w:rPr>
          <w:rFonts w:hint="eastAsia"/>
          <w:color w:val="auto"/>
          <w:highlight w:val="none"/>
          <w:lang w:val="en-US" w:eastAsia="zh-CN"/>
        </w:rPr>
        <w:t>.5.2-3</w:t>
      </w:r>
      <w:r>
        <w:rPr>
          <w:rFonts w:hint="eastAsia" w:ascii="Times New Roman" w:hAnsi="Times New Roman" w:eastAsia="宋体" w:cs="Times New Roman"/>
          <w:color w:val="auto"/>
          <w:highlight w:val="none"/>
          <w:lang w:val="en-US" w:eastAsia="zh-CN"/>
        </w:rPr>
        <w:t xml:space="preserve">                 地下水污染防渗分区参照表</w:t>
      </w:r>
    </w:p>
    <w:tbl>
      <w:tblPr>
        <w:tblStyle w:val="23"/>
        <w:tblW w:w="92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5"/>
        <w:gridCol w:w="1738"/>
        <w:gridCol w:w="2173"/>
        <w:gridCol w:w="1569"/>
        <w:gridCol w:w="2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防渗分区</w:t>
            </w: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天然包气带防污性能</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污染控制难易程度</w:t>
            </w:r>
          </w:p>
        </w:tc>
        <w:tc>
          <w:tcPr>
            <w:tcW w:w="156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污染物类型</w:t>
            </w:r>
          </w:p>
        </w:tc>
        <w:tc>
          <w:tcPr>
            <w:tcW w:w="2174"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防渗技术要求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重点防渗区</w:t>
            </w: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弱</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难</w:t>
            </w:r>
          </w:p>
        </w:tc>
        <w:tc>
          <w:tcPr>
            <w:tcW w:w="1569"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重金属、持久性有机物污染物</w:t>
            </w:r>
          </w:p>
        </w:tc>
        <w:tc>
          <w:tcPr>
            <w:tcW w:w="2174"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lang w:val="zh-CN"/>
              </w:rPr>
              <w:t>等效黏土防渗层Mb≥</w:t>
            </w:r>
            <w:r>
              <w:rPr>
                <w:rFonts w:ascii="Times New Roman" w:hAnsi="Times New Roman" w:eastAsia="宋体" w:cs="Times New Roman"/>
                <w:color w:val="auto"/>
                <w:w w:val="100"/>
                <w:sz w:val="21"/>
                <w:highlight w:val="none"/>
              </w:rPr>
              <w:t>6.0</w:t>
            </w:r>
            <w:r>
              <w:rPr>
                <w:rFonts w:ascii="Times New Roman" w:hAnsi="Times New Roman" w:eastAsia="宋体" w:cs="Times New Roman"/>
                <w:color w:val="auto"/>
                <w:w w:val="100"/>
                <w:sz w:val="21"/>
                <w:highlight w:val="none"/>
                <w:lang w:val="zh-CN"/>
              </w:rPr>
              <w:t>m， K&lt;1×10</w:t>
            </w:r>
            <w:r>
              <w:rPr>
                <w:rFonts w:ascii="Times New Roman" w:hAnsi="Times New Roman" w:eastAsia="宋体" w:cs="Times New Roman"/>
                <w:color w:val="auto"/>
                <w:w w:val="100"/>
                <w:sz w:val="21"/>
                <w:highlight w:val="none"/>
                <w:vertAlign w:val="superscript"/>
                <w:lang w:val="zh-CN"/>
              </w:rPr>
              <w:t>-7</w:t>
            </w:r>
            <w:r>
              <w:rPr>
                <w:rFonts w:ascii="Times New Roman" w:hAnsi="Times New Roman" w:eastAsia="宋体" w:cs="Times New Roman"/>
                <w:color w:val="auto"/>
                <w:w w:val="100"/>
                <w:sz w:val="21"/>
                <w:highlight w:val="none"/>
                <w:lang w:val="zh-CN"/>
              </w:rPr>
              <w:t>cm/s，或参照GB</w:t>
            </w:r>
            <w:r>
              <w:rPr>
                <w:rFonts w:ascii="Times New Roman" w:hAnsi="Times New Roman" w:eastAsia="宋体" w:cs="Times New Roman"/>
                <w:color w:val="auto"/>
                <w:w w:val="100"/>
                <w:sz w:val="21"/>
                <w:highlight w:val="none"/>
              </w:rPr>
              <w:t>18598</w:t>
            </w:r>
            <w:r>
              <w:rPr>
                <w:rFonts w:ascii="Times New Roman" w:hAnsi="Times New Roman" w:eastAsia="宋体" w:cs="Times New Roman"/>
                <w:color w:val="auto"/>
                <w:w w:val="100"/>
                <w:sz w:val="21"/>
                <w:highlight w:val="none"/>
                <w:lang w:val="zh-CN"/>
              </w:rPr>
              <w:t>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continue"/>
            <w:vAlign w:val="center"/>
          </w:tcPr>
          <w:p>
            <w:pPr>
              <w:pStyle w:val="31"/>
              <w:bidi w:val="0"/>
              <w:rPr>
                <w:rFonts w:ascii="Times New Roman" w:hAnsi="Times New Roman" w:eastAsia="宋体" w:cs="Times New Roman"/>
                <w:color w:val="auto"/>
                <w:w w:val="100"/>
                <w:sz w:val="21"/>
                <w:highlight w:val="none"/>
              </w:rPr>
            </w:pP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中-强</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难</w:t>
            </w:r>
          </w:p>
        </w:tc>
        <w:tc>
          <w:tcPr>
            <w:tcW w:w="1569" w:type="dxa"/>
            <w:vMerge w:val="continue"/>
            <w:vAlign w:val="center"/>
          </w:tcPr>
          <w:p>
            <w:pPr>
              <w:pStyle w:val="31"/>
              <w:bidi w:val="0"/>
              <w:rPr>
                <w:rFonts w:ascii="Times New Roman" w:hAnsi="Times New Roman" w:eastAsia="宋体" w:cs="Times New Roman"/>
                <w:color w:val="auto"/>
                <w:w w:val="100"/>
                <w:sz w:val="21"/>
                <w:highlight w:val="none"/>
              </w:rPr>
            </w:pPr>
          </w:p>
        </w:tc>
        <w:tc>
          <w:tcPr>
            <w:tcW w:w="2174" w:type="dxa"/>
            <w:vMerge w:val="continue"/>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continue"/>
            <w:vAlign w:val="center"/>
          </w:tcPr>
          <w:p>
            <w:pPr>
              <w:pStyle w:val="31"/>
              <w:bidi w:val="0"/>
              <w:rPr>
                <w:rFonts w:ascii="Times New Roman" w:hAnsi="Times New Roman" w:eastAsia="宋体" w:cs="Times New Roman"/>
                <w:color w:val="auto"/>
                <w:w w:val="100"/>
                <w:sz w:val="21"/>
                <w:highlight w:val="none"/>
              </w:rPr>
            </w:pP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弱</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w:t>
            </w:r>
          </w:p>
        </w:tc>
        <w:tc>
          <w:tcPr>
            <w:tcW w:w="1569" w:type="dxa"/>
            <w:vMerge w:val="continue"/>
            <w:vAlign w:val="center"/>
          </w:tcPr>
          <w:p>
            <w:pPr>
              <w:pStyle w:val="31"/>
              <w:bidi w:val="0"/>
              <w:rPr>
                <w:rFonts w:ascii="Times New Roman" w:hAnsi="Times New Roman" w:eastAsia="宋体" w:cs="Times New Roman"/>
                <w:color w:val="auto"/>
                <w:w w:val="100"/>
                <w:sz w:val="21"/>
                <w:highlight w:val="none"/>
              </w:rPr>
            </w:pPr>
          </w:p>
        </w:tc>
        <w:tc>
          <w:tcPr>
            <w:tcW w:w="2174" w:type="dxa"/>
            <w:vMerge w:val="continue"/>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一般防渗区</w:t>
            </w: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弱</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易-难</w:t>
            </w:r>
          </w:p>
        </w:tc>
        <w:tc>
          <w:tcPr>
            <w:tcW w:w="1569"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其他类型</w:t>
            </w:r>
          </w:p>
        </w:tc>
        <w:tc>
          <w:tcPr>
            <w:tcW w:w="2174"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lang w:val="zh-CN"/>
              </w:rPr>
              <w:t>等效黏土防渗层Mb&gt;1.5m， K&lt;1×10</w:t>
            </w:r>
            <w:r>
              <w:rPr>
                <w:rFonts w:ascii="Times New Roman" w:hAnsi="Times New Roman" w:eastAsia="宋体" w:cs="Times New Roman"/>
                <w:color w:val="auto"/>
                <w:w w:val="100"/>
                <w:sz w:val="21"/>
                <w:highlight w:val="none"/>
                <w:vertAlign w:val="superscript"/>
                <w:lang w:val="zh-CN"/>
              </w:rPr>
              <w:t>-7</w:t>
            </w:r>
            <w:r>
              <w:rPr>
                <w:rFonts w:ascii="Times New Roman" w:hAnsi="Times New Roman" w:eastAsia="宋体" w:cs="Times New Roman"/>
                <w:color w:val="auto"/>
                <w:w w:val="100"/>
                <w:sz w:val="21"/>
                <w:highlight w:val="none"/>
                <w:lang w:val="zh-CN"/>
              </w:rPr>
              <w:t>cm/s，或参照GB16889执行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continue"/>
            <w:vAlign w:val="center"/>
          </w:tcPr>
          <w:p>
            <w:pPr>
              <w:pStyle w:val="31"/>
              <w:bidi w:val="0"/>
              <w:rPr>
                <w:rFonts w:ascii="Times New Roman" w:hAnsi="Times New Roman" w:eastAsia="宋体" w:cs="Times New Roman"/>
                <w:color w:val="auto"/>
                <w:w w:val="100"/>
                <w:sz w:val="21"/>
                <w:highlight w:val="none"/>
              </w:rPr>
            </w:pP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中-强</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难</w:t>
            </w:r>
          </w:p>
        </w:tc>
        <w:tc>
          <w:tcPr>
            <w:tcW w:w="1569" w:type="dxa"/>
            <w:vMerge w:val="continue"/>
            <w:vAlign w:val="center"/>
          </w:tcPr>
          <w:p>
            <w:pPr>
              <w:pStyle w:val="31"/>
              <w:bidi w:val="0"/>
              <w:rPr>
                <w:rFonts w:ascii="Times New Roman" w:hAnsi="Times New Roman" w:eastAsia="宋体" w:cs="Times New Roman"/>
                <w:color w:val="auto"/>
                <w:w w:val="100"/>
                <w:sz w:val="21"/>
                <w:highlight w:val="none"/>
              </w:rPr>
            </w:pPr>
          </w:p>
        </w:tc>
        <w:tc>
          <w:tcPr>
            <w:tcW w:w="2174" w:type="dxa"/>
            <w:vMerge w:val="continue"/>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continue"/>
            <w:vAlign w:val="center"/>
          </w:tcPr>
          <w:p>
            <w:pPr>
              <w:pStyle w:val="31"/>
              <w:bidi w:val="0"/>
              <w:rPr>
                <w:rFonts w:ascii="Times New Roman" w:hAnsi="Times New Roman" w:eastAsia="宋体" w:cs="Times New Roman"/>
                <w:color w:val="auto"/>
                <w:w w:val="100"/>
                <w:sz w:val="21"/>
                <w:highlight w:val="none"/>
              </w:rPr>
            </w:pP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w:t>
            </w:r>
          </w:p>
        </w:tc>
        <w:tc>
          <w:tcPr>
            <w:tcW w:w="1569" w:type="dxa"/>
            <w:vMerge w:val="restart"/>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重金属、持久性有机物污染物</w:t>
            </w:r>
          </w:p>
        </w:tc>
        <w:tc>
          <w:tcPr>
            <w:tcW w:w="2174" w:type="dxa"/>
            <w:vMerge w:val="continue"/>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Merge w:val="continue"/>
            <w:vAlign w:val="center"/>
          </w:tcPr>
          <w:p>
            <w:pPr>
              <w:pStyle w:val="31"/>
              <w:bidi w:val="0"/>
              <w:rPr>
                <w:rFonts w:ascii="Times New Roman" w:hAnsi="Times New Roman" w:eastAsia="宋体" w:cs="Times New Roman"/>
                <w:color w:val="auto"/>
                <w:w w:val="100"/>
                <w:sz w:val="21"/>
                <w:highlight w:val="none"/>
              </w:rPr>
            </w:pP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强</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w:t>
            </w:r>
          </w:p>
        </w:tc>
        <w:tc>
          <w:tcPr>
            <w:tcW w:w="1569" w:type="dxa"/>
            <w:vMerge w:val="continue"/>
            <w:vAlign w:val="center"/>
          </w:tcPr>
          <w:p>
            <w:pPr>
              <w:pStyle w:val="31"/>
              <w:bidi w:val="0"/>
              <w:rPr>
                <w:rFonts w:ascii="Times New Roman" w:hAnsi="Times New Roman" w:eastAsia="宋体" w:cs="Times New Roman"/>
                <w:color w:val="auto"/>
                <w:w w:val="100"/>
                <w:sz w:val="21"/>
                <w:highlight w:val="none"/>
              </w:rPr>
            </w:pPr>
          </w:p>
        </w:tc>
        <w:tc>
          <w:tcPr>
            <w:tcW w:w="2174" w:type="dxa"/>
            <w:vMerge w:val="continue"/>
            <w:tcBorders>
              <w:bottom w:val="single" w:color="auto" w:sz="4" w:space="0"/>
            </w:tcBorders>
            <w:vAlign w:val="center"/>
          </w:tcPr>
          <w:p>
            <w:pPr>
              <w:pStyle w:val="31"/>
              <w:bidi w:val="0"/>
              <w:rPr>
                <w:rFonts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简单防渗区</w:t>
            </w:r>
          </w:p>
        </w:tc>
        <w:tc>
          <w:tcPr>
            <w:tcW w:w="173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中-强</w:t>
            </w:r>
          </w:p>
        </w:tc>
        <w:tc>
          <w:tcPr>
            <w:tcW w:w="2173"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易</w:t>
            </w:r>
          </w:p>
        </w:tc>
        <w:tc>
          <w:tcPr>
            <w:tcW w:w="156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其他类型</w:t>
            </w:r>
          </w:p>
        </w:tc>
        <w:tc>
          <w:tcPr>
            <w:tcW w:w="2174" w:type="dxa"/>
            <w:tcBorders>
              <w:top w:val="single" w:color="auto" w:sz="4" w:space="0"/>
            </w:tcBorders>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一般地面硬化</w:t>
            </w:r>
          </w:p>
        </w:tc>
      </w:tr>
    </w:tbl>
    <w:p>
      <w:pPr>
        <w:bidi w:val="0"/>
        <w:rPr>
          <w:color w:val="auto"/>
          <w:highlight w:val="none"/>
        </w:rPr>
      </w:pPr>
      <w:r>
        <w:rPr>
          <w:color w:val="auto"/>
          <w:highlight w:val="none"/>
        </w:rPr>
        <w:t>重点防渗区为污水处理站、</w:t>
      </w:r>
      <w:r>
        <w:rPr>
          <w:rFonts w:hint="eastAsia"/>
          <w:color w:val="auto"/>
          <w:highlight w:val="none"/>
          <w:lang w:eastAsia="zh-CN"/>
        </w:rPr>
        <w:t>危废暂存间、</w:t>
      </w:r>
      <w:r>
        <w:rPr>
          <w:color w:val="auto"/>
          <w:highlight w:val="none"/>
        </w:rPr>
        <w:t>事故应急池等；一般防渗区为</w:t>
      </w:r>
      <w:r>
        <w:rPr>
          <w:rFonts w:hint="eastAsia"/>
          <w:color w:val="auto"/>
          <w:highlight w:val="none"/>
          <w:lang w:eastAsia="zh-CN"/>
        </w:rPr>
        <w:t>生产车间</w:t>
      </w:r>
      <w:r>
        <w:rPr>
          <w:color w:val="auto"/>
          <w:highlight w:val="none"/>
        </w:rPr>
        <w:t>、</w:t>
      </w:r>
      <w:r>
        <w:rPr>
          <w:rFonts w:hint="eastAsia"/>
          <w:color w:val="auto"/>
          <w:highlight w:val="none"/>
          <w:lang w:eastAsia="zh-CN"/>
        </w:rPr>
        <w:t>机修间、</w:t>
      </w:r>
      <w:r>
        <w:rPr>
          <w:color w:val="auto"/>
          <w:highlight w:val="none"/>
        </w:rPr>
        <w:t>仓库、</w:t>
      </w:r>
      <w:r>
        <w:rPr>
          <w:rFonts w:hint="eastAsia"/>
          <w:color w:val="auto"/>
          <w:highlight w:val="none"/>
          <w:lang w:eastAsia="zh-CN"/>
        </w:rPr>
        <w:t>办公楼</w:t>
      </w:r>
      <w:r>
        <w:rPr>
          <w:color w:val="auto"/>
          <w:highlight w:val="none"/>
        </w:rPr>
        <w:t>等。本项目防渗工程污染防治分区情况见表6.3</w:t>
      </w:r>
      <w:r>
        <w:rPr>
          <w:rFonts w:hint="eastAsia"/>
          <w:color w:val="auto"/>
          <w:highlight w:val="none"/>
          <w:lang w:val="en-US" w:eastAsia="zh-CN"/>
        </w:rPr>
        <w:t>.5.2-4</w:t>
      </w:r>
      <w:r>
        <w:rPr>
          <w:color w:val="auto"/>
          <w:highlight w:val="none"/>
        </w:rPr>
        <w:t>。</w:t>
      </w:r>
    </w:p>
    <w:p>
      <w:pPr>
        <w:bidi w:val="0"/>
        <w:rPr>
          <w:color w:val="auto"/>
          <w:highlight w:val="none"/>
        </w:rPr>
      </w:pPr>
      <w:r>
        <w:rPr>
          <w:color w:val="auto"/>
          <w:highlight w:val="none"/>
        </w:rPr>
        <w:t>表6.3</w:t>
      </w:r>
      <w:r>
        <w:rPr>
          <w:rFonts w:hint="eastAsia"/>
          <w:color w:val="auto"/>
          <w:highlight w:val="none"/>
          <w:lang w:val="en-US" w:eastAsia="zh-CN"/>
        </w:rPr>
        <w:t>.5.2-4</w:t>
      </w:r>
      <w:r>
        <w:rPr>
          <w:color w:val="auto"/>
          <w:highlight w:val="none"/>
        </w:rPr>
        <w:t xml:space="preserve"> </w:t>
      </w:r>
      <w:r>
        <w:rPr>
          <w:rFonts w:hint="eastAsia"/>
          <w:color w:val="auto"/>
          <w:highlight w:val="none"/>
          <w:lang w:val="en-US" w:eastAsia="zh-CN"/>
        </w:rPr>
        <w:t xml:space="preserve">             </w:t>
      </w:r>
      <w:r>
        <w:rPr>
          <w:color w:val="auto"/>
          <w:highlight w:val="none"/>
        </w:rPr>
        <w:t xml:space="preserve"> 本项目防渗工程污染防治分区</w:t>
      </w:r>
    </w:p>
    <w:tbl>
      <w:tblPr>
        <w:tblStyle w:val="23"/>
        <w:tblW w:w="92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3292"/>
        <w:gridCol w:w="2521"/>
        <w:gridCol w:w="2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序号</w:t>
            </w:r>
          </w:p>
        </w:tc>
        <w:tc>
          <w:tcPr>
            <w:tcW w:w="329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名称</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防渗区域及部位</w:t>
            </w:r>
          </w:p>
        </w:tc>
        <w:tc>
          <w:tcPr>
            <w:tcW w:w="269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防渗分区等级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68"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危险废物暂存间</w:t>
            </w:r>
          </w:p>
        </w:tc>
        <w:tc>
          <w:tcPr>
            <w:tcW w:w="2521"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重点防渗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事故应急池</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池底、池壁</w:t>
            </w:r>
          </w:p>
        </w:tc>
        <w:tc>
          <w:tcPr>
            <w:tcW w:w="2698"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重点防渗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3</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污水处理站</w:t>
            </w:r>
          </w:p>
        </w:tc>
        <w:tc>
          <w:tcPr>
            <w:tcW w:w="2521"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重点防渗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4</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生产车间</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ascii="Times New Roman" w:hAnsi="Times New Roman" w:eastAsia="宋体" w:cs="Times New Roman"/>
                <w:color w:val="auto"/>
                <w:w w:val="100"/>
                <w:sz w:val="21"/>
                <w:highlight w:val="none"/>
              </w:rPr>
              <w:t>一般</w:t>
            </w:r>
            <w:r>
              <w:rPr>
                <w:rFonts w:hint="eastAsia" w:ascii="Times New Roman" w:hAnsi="Times New Roman" w:eastAsia="宋体" w:cs="Times New Roman"/>
                <w:color w:val="auto"/>
                <w:w w:val="100"/>
                <w:sz w:val="21"/>
                <w:highlight w:val="none"/>
                <w:lang w:eastAsia="zh-CN"/>
              </w:rPr>
              <w:t>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机修间</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一般</w:t>
            </w:r>
            <w:r>
              <w:rPr>
                <w:rFonts w:hint="eastAsia" w:ascii="Times New Roman" w:hAnsi="Times New Roman" w:eastAsia="宋体" w:cs="Times New Roman"/>
                <w:color w:val="auto"/>
                <w:w w:val="100"/>
                <w:sz w:val="21"/>
                <w:highlight w:val="none"/>
                <w:lang w:eastAsia="zh-CN"/>
              </w:rPr>
              <w:t>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6</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仓库</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一般</w:t>
            </w:r>
            <w:r>
              <w:rPr>
                <w:rFonts w:hint="eastAsia" w:ascii="Times New Roman" w:hAnsi="Times New Roman" w:eastAsia="宋体" w:cs="Times New Roman"/>
                <w:color w:val="auto"/>
                <w:w w:val="100"/>
                <w:sz w:val="21"/>
                <w:highlight w:val="none"/>
                <w:lang w:eastAsia="zh-CN"/>
              </w:rPr>
              <w:t>防渗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8"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w:t>
            </w:r>
          </w:p>
        </w:tc>
        <w:tc>
          <w:tcPr>
            <w:tcW w:w="3292" w:type="dxa"/>
            <w:vAlign w:val="center"/>
          </w:tcPr>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办公楼</w:t>
            </w:r>
          </w:p>
        </w:tc>
        <w:tc>
          <w:tcPr>
            <w:tcW w:w="2521"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地面</w:t>
            </w:r>
          </w:p>
        </w:tc>
        <w:tc>
          <w:tcPr>
            <w:tcW w:w="2698"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一般</w:t>
            </w:r>
            <w:r>
              <w:rPr>
                <w:rFonts w:hint="eastAsia" w:ascii="Times New Roman" w:hAnsi="Times New Roman" w:eastAsia="宋体" w:cs="Times New Roman"/>
                <w:color w:val="auto"/>
                <w:w w:val="100"/>
                <w:sz w:val="21"/>
                <w:highlight w:val="none"/>
                <w:lang w:eastAsia="zh-CN"/>
              </w:rPr>
              <w:t>防渗</w:t>
            </w:r>
          </w:p>
        </w:tc>
      </w:tr>
    </w:tbl>
    <w:p>
      <w:pPr>
        <w:bidi w:val="0"/>
        <w:rPr>
          <w:color w:val="auto"/>
          <w:highlight w:val="none"/>
        </w:rPr>
      </w:pPr>
      <w:r>
        <w:rPr>
          <w:color w:val="auto"/>
          <w:highlight w:val="none"/>
        </w:rPr>
        <w:t>地下管道采取的防渗措施如下：地下管道选用钢管，焊接连接，在管道壁厚设计上加大腐蚀裕量，并且采用最高级别的外防腐层。防渗结构采用封闭钢筋混凝土管沟防渗结构。</w:t>
      </w:r>
    </w:p>
    <w:p>
      <w:pPr>
        <w:bidi w:val="0"/>
        <w:rPr>
          <w:color w:val="auto"/>
          <w:highlight w:val="none"/>
        </w:rPr>
      </w:pPr>
      <w:r>
        <w:rPr>
          <w:color w:val="auto"/>
          <w:highlight w:val="none"/>
        </w:rPr>
        <w:t>采取上述防渗措施后，确保项目地下水环境不会因项目的建设而改变。</w:t>
      </w:r>
    </w:p>
    <w:p>
      <w:pPr>
        <w:numPr>
          <w:ilvl w:val="0"/>
          <w:numId w:val="5"/>
        </w:numPr>
        <w:bidi w:val="0"/>
        <w:rPr>
          <w:color w:val="auto"/>
          <w:highlight w:val="none"/>
        </w:rPr>
      </w:pPr>
      <w:r>
        <w:rPr>
          <w:color w:val="auto"/>
          <w:highlight w:val="none"/>
        </w:rPr>
        <w:t>分区防渗措施</w:t>
      </w:r>
    </w:p>
    <w:p>
      <w:pPr>
        <w:bidi w:val="0"/>
        <w:rPr>
          <w:rFonts w:hint="default"/>
          <w:color w:val="auto"/>
          <w:highlight w:val="none"/>
        </w:rPr>
      </w:pPr>
      <w:r>
        <w:rPr>
          <w:rFonts w:hint="eastAsia"/>
          <w:color w:val="auto"/>
          <w:highlight w:val="none"/>
        </w:rPr>
        <w:t>1、</w:t>
      </w:r>
      <w:r>
        <w:rPr>
          <w:rFonts w:hint="default"/>
          <w:color w:val="auto"/>
          <w:highlight w:val="none"/>
        </w:rPr>
        <w:t>重点防渗区防渗措施：</w:t>
      </w:r>
    </w:p>
    <w:p>
      <w:pPr>
        <w:bidi w:val="0"/>
        <w:rPr>
          <w:rFonts w:hint="eastAsia"/>
          <w:color w:val="auto"/>
          <w:highlight w:val="none"/>
        </w:rPr>
      </w:pPr>
      <w:r>
        <w:rPr>
          <w:rFonts w:hint="default"/>
          <w:color w:val="auto"/>
          <w:highlight w:val="none"/>
        </w:rPr>
        <w:t>对于设计要求地面渗透系数K≤1.0×10</w:t>
      </w:r>
      <w:r>
        <w:rPr>
          <w:rFonts w:hint="default"/>
          <w:color w:val="auto"/>
          <w:highlight w:val="none"/>
          <w:vertAlign w:val="superscript"/>
        </w:rPr>
        <w:t>-7</w:t>
      </w:r>
      <w:r>
        <w:rPr>
          <w:rFonts w:hint="default"/>
          <w:color w:val="auto"/>
          <w:highlight w:val="none"/>
        </w:rPr>
        <w:t>cm/s污染区域，防渗材料根据不同的工况条件可选用粘土、人工合成材料高密度聚乙烯HDPE土工膜，等效粘土防渗层Mb≥6.0m。</w:t>
      </w:r>
    </w:p>
    <w:p>
      <w:pPr>
        <w:bidi w:val="0"/>
        <w:rPr>
          <w:color w:val="auto"/>
          <w:highlight w:val="none"/>
        </w:rPr>
      </w:pPr>
      <w:r>
        <w:rPr>
          <w:rFonts w:hint="eastAsia"/>
          <w:color w:val="auto"/>
          <w:highlight w:val="none"/>
          <w:lang w:val="en-US" w:eastAsia="zh-CN"/>
        </w:rPr>
        <w:t>2、</w:t>
      </w:r>
      <w:r>
        <w:rPr>
          <w:color w:val="auto"/>
          <w:highlight w:val="none"/>
        </w:rPr>
        <w:t>一般防渗区防渗措施：</w:t>
      </w:r>
    </w:p>
    <w:p>
      <w:pPr>
        <w:bidi w:val="0"/>
        <w:rPr>
          <w:color w:val="auto"/>
          <w:highlight w:val="none"/>
        </w:rPr>
      </w:pPr>
      <w:r>
        <w:rPr>
          <w:color w:val="auto"/>
          <w:highlight w:val="none"/>
        </w:rPr>
        <w:t>对于设计要求地面渗透系数K≤1.0×10</w:t>
      </w:r>
      <w:r>
        <w:rPr>
          <w:color w:val="auto"/>
          <w:highlight w:val="none"/>
          <w:vertAlign w:val="superscript"/>
        </w:rPr>
        <w:t>-7</w:t>
      </w:r>
      <w:r>
        <w:rPr>
          <w:color w:val="auto"/>
          <w:highlight w:val="none"/>
        </w:rPr>
        <w:t>cm/s污染区域，防渗材料根据不同的工况条件可选用粘土、水泥基渗透结晶型防水涂料或人工合成材料高密度聚乙烯HDPE土工膜。当建设场地具有符合要求的粘土时，地面防渗宜采用粘土防渗层，防渗层顶面宜采用混凝土地面或设置厚度不小于200mm的砂石层。</w:t>
      </w:r>
    </w:p>
    <w:p>
      <w:pPr>
        <w:bidi w:val="0"/>
        <w:rPr>
          <w:color w:val="auto"/>
          <w:highlight w:val="none"/>
        </w:rPr>
      </w:pPr>
      <w:r>
        <w:rPr>
          <w:color w:val="auto"/>
          <w:highlight w:val="none"/>
        </w:rPr>
        <w:t>当无粘土时，采用混凝土防渗层，应符合下列规定：</w:t>
      </w:r>
    </w:p>
    <w:p>
      <w:pPr>
        <w:bidi w:val="0"/>
        <w:rPr>
          <w:color w:val="auto"/>
          <w:highlight w:val="none"/>
        </w:rPr>
      </w:pPr>
      <w:r>
        <w:rPr>
          <w:color w:val="auto"/>
          <w:highlight w:val="none"/>
        </w:rPr>
        <w:t>一般污染防治区抗渗混凝土厚度不宜小于120mm，抗渗等级不低于P6，强度等级不低于C25，水灰比不宜大于0.50。</w:t>
      </w:r>
    </w:p>
    <w:p>
      <w:pPr>
        <w:bidi w:val="0"/>
        <w:rPr>
          <w:color w:val="auto"/>
          <w:highlight w:val="none"/>
        </w:rPr>
      </w:pPr>
      <w:r>
        <w:rPr>
          <w:rFonts w:hint="eastAsia"/>
          <w:color w:val="auto"/>
          <w:highlight w:val="none"/>
          <w:lang w:val="en-US" w:eastAsia="zh-CN"/>
        </w:rPr>
        <w:t>3</w:t>
      </w:r>
      <w:r>
        <w:rPr>
          <w:color w:val="auto"/>
          <w:highlight w:val="none"/>
        </w:rPr>
        <w:t>、设备和管道检修、拆卸时必须采取措施，应收集设备和管道中的残留物质，不得任意排放。</w:t>
      </w:r>
    </w:p>
    <w:p>
      <w:pPr>
        <w:bidi w:val="0"/>
        <w:rPr>
          <w:color w:val="auto"/>
          <w:highlight w:val="none"/>
        </w:rPr>
      </w:pPr>
      <w:r>
        <w:rPr>
          <w:rFonts w:hint="eastAsia"/>
          <w:color w:val="auto"/>
          <w:highlight w:val="none"/>
          <w:lang w:val="en-US" w:eastAsia="zh-CN"/>
        </w:rPr>
        <w:t>4</w:t>
      </w:r>
      <w:r>
        <w:rPr>
          <w:rFonts w:hint="eastAsia"/>
          <w:color w:val="auto"/>
          <w:highlight w:val="none"/>
        </w:rPr>
        <w:t>、</w:t>
      </w:r>
      <w:r>
        <w:rPr>
          <w:color w:val="auto"/>
          <w:highlight w:val="none"/>
        </w:rPr>
        <w:t>定期进行检漏检修。强化各相关工程的转弯、承插、对接等处的防渗，做好隐蔽工程计量，强化防渗工程的环境管理。</w:t>
      </w:r>
    </w:p>
    <w:p>
      <w:pPr>
        <w:numPr>
          <w:ilvl w:val="0"/>
          <w:numId w:val="5"/>
        </w:numPr>
        <w:bidi w:val="0"/>
        <w:rPr>
          <w:color w:val="auto"/>
          <w:highlight w:val="none"/>
        </w:rPr>
      </w:pPr>
      <w:r>
        <w:rPr>
          <w:color w:val="auto"/>
          <w:highlight w:val="none"/>
        </w:rPr>
        <w:t>监测管理</w:t>
      </w:r>
    </w:p>
    <w:p>
      <w:pPr>
        <w:bidi w:val="0"/>
        <w:rPr>
          <w:color w:val="auto"/>
          <w:highlight w:val="none"/>
        </w:rPr>
      </w:pPr>
      <w:r>
        <w:rPr>
          <w:color w:val="auto"/>
          <w:highlight w:val="none"/>
        </w:rPr>
        <w:t>为避免对地下水污染，本项目应建立地下水环境监测管理体系，以便及时发现问题，采取措施，根据《环境影响评价技术导则地下水环境》</w:t>
      </w:r>
      <w:r>
        <w:rPr>
          <w:rFonts w:hint="eastAsia"/>
          <w:color w:val="auto"/>
          <w:highlight w:val="none"/>
          <w:lang w:eastAsia="zh-CN"/>
        </w:rPr>
        <w:t>（</w:t>
      </w:r>
      <w:r>
        <w:rPr>
          <w:color w:val="auto"/>
          <w:highlight w:val="none"/>
        </w:rPr>
        <w:t>HJ610－2016），三级评价的建设项目跟踪监测点数量要求一般不少于</w:t>
      </w:r>
      <w:r>
        <w:rPr>
          <w:rFonts w:hint="eastAsia"/>
          <w:color w:val="auto"/>
          <w:highlight w:val="none"/>
          <w:lang w:eastAsia="zh-CN"/>
        </w:rPr>
        <w:t>三</w:t>
      </w:r>
      <w:r>
        <w:rPr>
          <w:color w:val="auto"/>
          <w:highlight w:val="none"/>
        </w:rPr>
        <w:t>个，应至少在建设项目场地</w:t>
      </w:r>
      <w:r>
        <w:rPr>
          <w:rFonts w:hint="eastAsia"/>
          <w:color w:val="auto"/>
          <w:highlight w:val="none"/>
          <w:lang w:eastAsia="zh-CN"/>
        </w:rPr>
        <w:t>及其上、</w:t>
      </w:r>
      <w:r>
        <w:rPr>
          <w:color w:val="auto"/>
          <w:highlight w:val="none"/>
        </w:rPr>
        <w:t>下游布置一个。</w:t>
      </w:r>
    </w:p>
    <w:p>
      <w:pPr>
        <w:bidi w:val="0"/>
        <w:rPr>
          <w:color w:val="auto"/>
          <w:highlight w:val="none"/>
        </w:rPr>
      </w:pPr>
      <w:r>
        <w:rPr>
          <w:color w:val="auto"/>
          <w:highlight w:val="none"/>
        </w:rPr>
        <w:t>综上所述，认真落实</w:t>
      </w:r>
      <w:r>
        <w:rPr>
          <w:rFonts w:hint="eastAsia"/>
          <w:color w:val="auto"/>
          <w:highlight w:val="none"/>
          <w:lang w:eastAsia="zh-CN"/>
        </w:rPr>
        <w:t>“</w:t>
      </w:r>
      <w:r>
        <w:rPr>
          <w:color w:val="auto"/>
          <w:highlight w:val="none"/>
        </w:rPr>
        <w:t>源头控制、分区防控、污染监控、应急响应</w:t>
      </w:r>
      <w:r>
        <w:rPr>
          <w:rFonts w:hint="eastAsia"/>
          <w:color w:val="auto"/>
          <w:highlight w:val="none"/>
          <w:lang w:eastAsia="zh-CN"/>
        </w:rPr>
        <w:t>”</w:t>
      </w:r>
      <w:r>
        <w:rPr>
          <w:color w:val="auto"/>
          <w:highlight w:val="none"/>
        </w:rPr>
        <w:t>措施，项目建成后不会对地下水产生影响。</w:t>
      </w:r>
    </w:p>
    <w:p>
      <w:pPr>
        <w:pStyle w:val="37"/>
        <w:ind w:left="0" w:leftChars="0" w:firstLine="0" w:firstLineChars="0"/>
        <w:rPr>
          <w:rFonts w:hint="eastAsia" w:ascii="Times New Roman" w:hAnsi="Times New Roman" w:eastAsia="宋体" w:cs="Times New Roman"/>
          <w:caps w:val="0"/>
          <w:smallCaps w:val="0"/>
          <w:color w:val="auto"/>
          <w:spacing w:val="0"/>
          <w:w w:val="99"/>
          <w:position w:val="0"/>
          <w:highlight w:val="none"/>
          <w:lang w:eastAsia="zh-CN"/>
        </w:rPr>
      </w:pPr>
      <w:r>
        <w:rPr>
          <w:rFonts w:ascii="Times New Roman" w:hAnsi="Times New Roman" w:eastAsia="宋体" w:cs="Times New Roman"/>
          <w:caps w:val="0"/>
          <w:smallCaps w:val="0"/>
          <w:color w:val="auto"/>
          <w:spacing w:val="0"/>
          <w:w w:val="99"/>
          <w:position w:val="0"/>
          <w:sz w:val="24"/>
          <w:highlight w:val="none"/>
        </w:rPr>
        <mc:AlternateContent>
          <mc:Choice Requires="wps">
            <w:drawing>
              <wp:anchor distT="0" distB="0" distL="114300" distR="114300" simplePos="0" relativeHeight="251670528" behindDoc="0" locked="0" layoutInCell="1" allowOverlap="1">
                <wp:simplePos x="0" y="0"/>
                <wp:positionH relativeFrom="column">
                  <wp:posOffset>1744980</wp:posOffset>
                </wp:positionH>
                <wp:positionV relativeFrom="paragraph">
                  <wp:posOffset>2287905</wp:posOffset>
                </wp:positionV>
                <wp:extent cx="1681480" cy="471170"/>
                <wp:effectExtent l="6350" t="478790" r="7620" b="21590"/>
                <wp:wrapNone/>
                <wp:docPr id="56" name="矩形标注 56"/>
                <wp:cNvGraphicFramePr/>
                <a:graphic xmlns:a="http://schemas.openxmlformats.org/drawingml/2006/main">
                  <a:graphicData uri="http://schemas.microsoft.com/office/word/2010/wordprocessingShape">
                    <wps:wsp>
                      <wps:cNvSpPr/>
                      <wps:spPr>
                        <a:xfrm>
                          <a:off x="0" y="0"/>
                          <a:ext cx="1681480" cy="471170"/>
                        </a:xfrm>
                        <a:prstGeom prst="wedgeRectCallout">
                          <a:avLst>
                            <a:gd name="adj1" fmla="val -41579"/>
                            <a:gd name="adj2" fmla="val -147750"/>
                          </a:avLst>
                        </a:prstGeom>
                        <a:noFill/>
                        <a:ln w="12700" cap="flat" cmpd="sng">
                          <a:solidFill>
                            <a:srgbClr val="7030A0"/>
                          </a:solidFill>
                          <a:prstDash val="solid"/>
                          <a:miter/>
                          <a:headEnd type="none" w="med" len="med"/>
                          <a:tailEnd type="none" w="med" len="med"/>
                        </a:ln>
                      </wps:spPr>
                      <wps:txbx>
                        <w:txbxContent>
                          <w:p>
                            <w:pPr>
                              <w:rPr>
                                <w:rFonts w:hint="eastAsia" w:eastAsia="宋体"/>
                                <w:b/>
                                <w:bCs/>
                                <w:color w:val="7030A0"/>
                                <w:lang w:eastAsia="zh-CN"/>
                              </w:rPr>
                            </w:pPr>
                            <w:r>
                              <w:rPr>
                                <w:rFonts w:hint="eastAsia"/>
                                <w:b/>
                                <w:bCs/>
                                <w:color w:val="7030A0"/>
                                <w:lang w:eastAsia="zh-CN"/>
                              </w:rPr>
                              <w:t>危险废物暂存间</w:t>
                            </w:r>
                          </w:p>
                        </w:txbxContent>
                      </wps:txbx>
                      <wps:bodyPr upright="1"/>
                    </wps:wsp>
                  </a:graphicData>
                </a:graphic>
              </wp:anchor>
            </w:drawing>
          </mc:Choice>
          <mc:Fallback>
            <w:pict>
              <v:shape id="_x0000_s1026" o:spid="_x0000_s1026" o:spt="61" type="#_x0000_t61" style="position:absolute;left:0pt;margin-left:137.4pt;margin-top:180.15pt;height:37.1pt;width:132.4pt;z-index:251670528;mso-width-relative:page;mso-height-relative:page;" filled="f" stroked="t" coordsize="21600,21600" o:gfxdata="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xYhWINkAAAALAQAADwAAAAAAAAABACAAAAAiAAAAZHJzL2Rvd25y&#10;ZXYueG1sUEsBAhQAFAAAAAgAh07iQLMESfQ2AgAAaQQAAA4AAAAAAAAAAQAgAAAAKAEAAGRycy9l&#10;Mm9Eb2MueG1sUEsFBgAAAAAGAAYAWQEAANAFAAAAAA==&#10;" adj="1819,-21114">
                <v:fill on="f" focussize="0,0"/>
                <v:stroke weight="1pt" color="#7030A0" joinstyle="miter"/>
                <v:imagedata o:title=""/>
                <o:lock v:ext="edit" aspectratio="f"/>
                <v:textbox>
                  <w:txbxContent>
                    <w:p>
                      <w:pPr>
                        <w:rPr>
                          <w:rFonts w:hint="eastAsia" w:eastAsia="宋体"/>
                          <w:b/>
                          <w:bCs/>
                          <w:color w:val="7030A0"/>
                          <w:lang w:eastAsia="zh-CN"/>
                        </w:rPr>
                      </w:pPr>
                      <w:r>
                        <w:rPr>
                          <w:rFonts w:hint="eastAsia"/>
                          <w:b/>
                          <w:bCs/>
                          <w:color w:val="7030A0"/>
                          <w:lang w:eastAsia="zh-CN"/>
                        </w:rPr>
                        <w:t>危险废物暂存间</w:t>
                      </w:r>
                    </w:p>
                  </w:txbxContent>
                </v:textbox>
              </v:shape>
            </w:pict>
          </mc:Fallback>
        </mc:AlternateContent>
      </w:r>
      <w:r>
        <w:rPr>
          <w:rFonts w:hint="eastAsia" w:ascii="Times New Roman" w:hAnsi="Times New Roman" w:eastAsia="宋体" w:cs="Times New Roman"/>
          <w:caps w:val="0"/>
          <w:smallCaps w:val="0"/>
          <w:color w:val="auto"/>
          <w:spacing w:val="0"/>
          <w:w w:val="99"/>
          <w:position w:val="0"/>
          <w:highlight w:val="none"/>
          <w:lang w:eastAsia="zh-CN"/>
        </w:rPr>
        <w:drawing>
          <wp:inline distT="0" distB="0" distL="114300" distR="114300">
            <wp:extent cx="5754370" cy="3393440"/>
            <wp:effectExtent l="0" t="0" r="17780" b="16510"/>
            <wp:docPr id="57" name="图片 2" descr="a350cd3e1fb6fb941c4883507fbb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a350cd3e1fb6fb941c4883507fbb344"/>
                    <pic:cNvPicPr>
                      <a:picLocks noChangeAspect="1"/>
                    </pic:cNvPicPr>
                  </pic:nvPicPr>
                  <pic:blipFill>
                    <a:blip r:embed="rId64"/>
                    <a:stretch>
                      <a:fillRect/>
                    </a:stretch>
                  </pic:blipFill>
                  <pic:spPr>
                    <a:xfrm>
                      <a:off x="0" y="0"/>
                      <a:ext cx="5754370" cy="33934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图6.3</w:t>
      </w:r>
      <w:r>
        <w:rPr>
          <w:rFonts w:hint="eastAsia" w:ascii="Times New Roman" w:hAnsi="Times New Roman" w:eastAsia="宋体" w:cs="Times New Roman"/>
          <w:color w:val="auto"/>
          <w:highlight w:val="none"/>
          <w:lang w:val="en-US" w:eastAsia="zh-CN"/>
        </w:rPr>
        <w:t>.5.2-1</w:t>
      </w:r>
      <w:r>
        <w:rPr>
          <w:rFonts w:ascii="Times New Roman" w:hAnsi="Times New Roman" w:eastAsia="宋体" w:cs="Times New Roman"/>
          <w:color w:val="auto"/>
          <w:highlight w:val="none"/>
        </w:rPr>
        <w:t xml:space="preserve">  本项目分区防渗图</w:t>
      </w:r>
    </w:p>
    <w:p>
      <w:pPr>
        <w:pStyle w:val="6"/>
        <w:bidi w:val="0"/>
        <w:outlineLvl w:val="1"/>
        <w:rPr>
          <w:rFonts w:ascii="Times New Roman" w:hAnsi="Times New Roman" w:eastAsia="宋体" w:cs="Times New Roman"/>
          <w:color w:val="auto"/>
          <w:highlight w:val="none"/>
        </w:rPr>
      </w:pPr>
      <w:bookmarkStart w:id="1153" w:name="_Toc14801"/>
      <w:bookmarkStart w:id="1154" w:name="_Toc28550"/>
      <w:bookmarkStart w:id="1155" w:name="_Toc9775"/>
      <w:bookmarkStart w:id="1156" w:name="_Toc2388"/>
      <w:r>
        <w:rPr>
          <w:rFonts w:ascii="Times New Roman" w:hAnsi="Times New Roman" w:eastAsia="宋体" w:cs="Times New Roman"/>
          <w:color w:val="auto"/>
          <w:highlight w:val="none"/>
        </w:rPr>
        <w:t>6.</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土壤防治措施</w:t>
      </w:r>
      <w:bookmarkEnd w:id="1153"/>
      <w:bookmarkEnd w:id="1154"/>
    </w:p>
    <w:p>
      <w:pPr>
        <w:bidi w:val="0"/>
        <w:rPr>
          <w:color w:val="auto"/>
          <w:highlight w:val="none"/>
        </w:rPr>
      </w:pPr>
      <w:r>
        <w:rPr>
          <w:color w:val="auto"/>
          <w:highlight w:val="none"/>
        </w:rPr>
        <w:t>为加强土壤污染防治，落实《环保部关于加强土壤污染防治工作的意见》</w:t>
      </w:r>
      <w:r>
        <w:rPr>
          <w:rFonts w:hint="eastAsia"/>
          <w:color w:val="auto"/>
          <w:highlight w:val="none"/>
          <w:lang w:eastAsia="zh-CN"/>
        </w:rPr>
        <w:t>（</w:t>
      </w:r>
      <w:r>
        <w:rPr>
          <w:color w:val="auto"/>
          <w:highlight w:val="none"/>
        </w:rPr>
        <w:t>环发[2008]48号</w:t>
      </w:r>
      <w:r>
        <w:rPr>
          <w:rFonts w:hint="eastAsia"/>
          <w:color w:val="auto"/>
          <w:highlight w:val="none"/>
          <w:lang w:eastAsia="zh-CN"/>
        </w:rPr>
        <w:t>）</w:t>
      </w:r>
      <w:r>
        <w:rPr>
          <w:color w:val="auto"/>
          <w:highlight w:val="none"/>
        </w:rPr>
        <w:t>，确保在生产过程避免对土壤产生影响，建设单位采取了以下相关防治措施。</w:t>
      </w:r>
    </w:p>
    <w:p>
      <w:pPr>
        <w:bidi w:val="0"/>
        <w:rPr>
          <w:color w:val="auto"/>
          <w:highlight w:val="none"/>
        </w:rPr>
      </w:pP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车间室内的地面都采用水泥进行了硬化，同时加强各生产设施的运行管理，不定期检查，减少排跑冒滴漏的产生，同时对落地的各物质及时清理回收，减少长期累积。</w:t>
      </w:r>
    </w:p>
    <w:p>
      <w:pPr>
        <w:bidi w:val="0"/>
        <w:rPr>
          <w:color w:val="auto"/>
          <w:highlight w:val="none"/>
        </w:rPr>
      </w:pP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污水收集设施所在的地面采取粘土铺底，地基进行了加固，以防地基下沉而产生污水处理池开裂，而使污水渗漏，同时池底采用水泥加厚，并铺以环氧树脂防渗。</w:t>
      </w:r>
    </w:p>
    <w:p>
      <w:pPr>
        <w:bidi w:val="0"/>
        <w:rPr>
          <w:color w:val="auto"/>
          <w:highlight w:val="none"/>
        </w:rPr>
      </w:pPr>
      <w:r>
        <w:rPr>
          <w:rFonts w:hint="eastAsia"/>
          <w:color w:val="auto"/>
          <w:highlight w:val="none"/>
          <w:lang w:eastAsia="zh-CN"/>
        </w:rPr>
        <w:t>（</w:t>
      </w:r>
      <w:r>
        <w:rPr>
          <w:color w:val="auto"/>
          <w:highlight w:val="none"/>
        </w:rPr>
        <w:t>3</w:t>
      </w:r>
      <w:r>
        <w:rPr>
          <w:rFonts w:hint="eastAsia"/>
          <w:color w:val="auto"/>
          <w:highlight w:val="none"/>
          <w:lang w:eastAsia="zh-CN"/>
        </w:rPr>
        <w:t>）</w:t>
      </w:r>
      <w:r>
        <w:rPr>
          <w:color w:val="auto"/>
          <w:highlight w:val="none"/>
        </w:rPr>
        <w:t>在退役时，要对土壤进行检测，如果已受到污染，应按照</w:t>
      </w:r>
      <w:r>
        <w:rPr>
          <w:rFonts w:hint="eastAsia"/>
          <w:color w:val="auto"/>
          <w:highlight w:val="none"/>
          <w:lang w:eastAsia="zh-CN"/>
        </w:rPr>
        <w:t>“</w:t>
      </w:r>
      <w:r>
        <w:rPr>
          <w:color w:val="auto"/>
          <w:highlight w:val="none"/>
        </w:rPr>
        <w:t>谁污染、谁治理</w:t>
      </w:r>
      <w:r>
        <w:rPr>
          <w:rFonts w:hint="eastAsia"/>
          <w:color w:val="auto"/>
          <w:highlight w:val="none"/>
          <w:lang w:eastAsia="zh-CN"/>
        </w:rPr>
        <w:t>”</w:t>
      </w:r>
      <w:r>
        <w:rPr>
          <w:color w:val="auto"/>
          <w:highlight w:val="none"/>
        </w:rPr>
        <w:t>的原则，被污染的土壤或者地下水，由造成污染的单位负责修复和治理。</w:t>
      </w:r>
    </w:p>
    <w:p>
      <w:pPr>
        <w:bidi w:val="0"/>
        <w:rPr>
          <w:rFonts w:ascii="Times New Roman" w:hAnsi="Times New Roman" w:eastAsia="宋体" w:cs="Times New Roman"/>
          <w:color w:val="auto"/>
          <w:spacing w:val="0"/>
          <w:w w:val="99"/>
          <w:position w:val="0"/>
          <w:szCs w:val="24"/>
          <w:highlight w:val="none"/>
        </w:rPr>
      </w:pPr>
      <w:bookmarkStart w:id="1157" w:name="_bookmark102"/>
      <w:bookmarkEnd w:id="1157"/>
      <w:r>
        <w:rPr>
          <w:color w:val="auto"/>
          <w:highlight w:val="none"/>
        </w:rPr>
        <w:t>采取以上防治措施后，本项目对厂区及附近的土壤环境影响小，措施可行。</w:t>
      </w:r>
    </w:p>
    <w:p>
      <w:pPr>
        <w:keepNext w:val="0"/>
        <w:keepLines w:val="0"/>
        <w:pageBreakBefore w:val="0"/>
        <w:widowControl w:val="0"/>
        <w:kinsoku/>
        <w:wordWrap/>
        <w:overflowPunct/>
        <w:topLinePunct w:val="0"/>
        <w:autoSpaceDE/>
        <w:autoSpaceDN/>
        <w:bidi w:val="0"/>
        <w:adjustRightInd/>
        <w:snapToGrid/>
        <w:spacing w:line="500" w:lineRule="exact"/>
        <w:ind w:left="0" w:right="0" w:firstLine="474" w:firstLineChars="200"/>
        <w:textAlignment w:val="auto"/>
        <w:rPr>
          <w:rFonts w:ascii="Times New Roman" w:hAnsi="Times New Roman" w:eastAsia="宋体" w:cs="Times New Roman"/>
          <w:color w:val="auto"/>
          <w:spacing w:val="0"/>
          <w:w w:val="99"/>
          <w:position w:val="0"/>
          <w:sz w:val="24"/>
          <w:highlight w:val="none"/>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0" w:charSpace="0"/>
        </w:sectPr>
      </w:pPr>
    </w:p>
    <w:p>
      <w:pPr>
        <w:pStyle w:val="5"/>
        <w:bidi w:val="0"/>
        <w:rPr>
          <w:color w:val="auto"/>
          <w:highlight w:val="none"/>
        </w:rPr>
      </w:pPr>
      <w:bookmarkStart w:id="1158" w:name="_Toc9040"/>
      <w:bookmarkStart w:id="1159" w:name="_Toc8834"/>
      <w:r>
        <w:rPr>
          <w:color w:val="auto"/>
          <w:highlight w:val="none"/>
        </w:rPr>
        <w:t>7环境经济损益分析</w:t>
      </w:r>
      <w:bookmarkEnd w:id="1155"/>
      <w:bookmarkEnd w:id="1156"/>
      <w:bookmarkEnd w:id="1158"/>
      <w:bookmarkEnd w:id="1159"/>
    </w:p>
    <w:p>
      <w:pPr>
        <w:pStyle w:val="6"/>
        <w:bidi w:val="0"/>
        <w:rPr>
          <w:color w:val="auto"/>
          <w:highlight w:val="none"/>
          <w:lang w:val="en-US" w:eastAsia="zh-CN"/>
        </w:rPr>
      </w:pPr>
      <w:bookmarkStart w:id="1160" w:name="_Toc24705"/>
      <w:bookmarkStart w:id="1161" w:name="_Toc2991"/>
      <w:r>
        <w:rPr>
          <w:color w:val="auto"/>
          <w:highlight w:val="none"/>
          <w:lang w:val="en-US" w:eastAsia="zh-CN"/>
        </w:rPr>
        <w:t>7.1经济效益分析</w:t>
      </w:r>
      <w:bookmarkEnd w:id="1160"/>
      <w:bookmarkEnd w:id="1161"/>
    </w:p>
    <w:p>
      <w:pPr>
        <w:bidi w:val="0"/>
        <w:rPr>
          <w:rFonts w:hint="eastAsia" w:eastAsia="宋体"/>
          <w:color w:val="auto"/>
          <w:highlight w:val="none"/>
          <w:lang w:val="en-US" w:eastAsia="zh-CN"/>
        </w:rPr>
      </w:pPr>
      <w:r>
        <w:rPr>
          <w:color w:val="auto"/>
          <w:highlight w:val="none"/>
        </w:rPr>
        <w:t>本次</w:t>
      </w:r>
      <w:r>
        <w:rPr>
          <w:rFonts w:hint="eastAsia"/>
          <w:color w:val="auto"/>
          <w:highlight w:val="none"/>
          <w:lang w:eastAsia="zh-CN"/>
        </w:rPr>
        <w:t>改建</w:t>
      </w:r>
      <w:r>
        <w:rPr>
          <w:color w:val="auto"/>
          <w:highlight w:val="none"/>
        </w:rPr>
        <w:t>工程总投资</w:t>
      </w:r>
      <w:r>
        <w:rPr>
          <w:rFonts w:hint="eastAsia"/>
          <w:color w:val="auto"/>
          <w:highlight w:val="none"/>
          <w:lang w:val="en-US" w:eastAsia="zh-CN"/>
        </w:rPr>
        <w:t>2700</w:t>
      </w:r>
      <w:r>
        <w:rPr>
          <w:color w:val="auto"/>
          <w:highlight w:val="none"/>
        </w:rPr>
        <w:t>万元，其中环保投资</w:t>
      </w:r>
      <w:r>
        <w:rPr>
          <w:rFonts w:hint="eastAsia"/>
          <w:color w:val="auto"/>
          <w:highlight w:val="none"/>
          <w:lang w:val="en-US" w:eastAsia="zh-CN"/>
        </w:rPr>
        <w:t>54</w:t>
      </w:r>
      <w:r>
        <w:rPr>
          <w:color w:val="auto"/>
          <w:highlight w:val="none"/>
        </w:rPr>
        <w:t>万元，占本项目总投资的2%</w:t>
      </w:r>
      <w:r>
        <w:rPr>
          <w:rFonts w:hint="eastAsia"/>
          <w:color w:val="auto"/>
          <w:highlight w:val="none"/>
          <w:lang w:eastAsia="zh-CN"/>
        </w:rPr>
        <w:t>。</w:t>
      </w:r>
    </w:p>
    <w:p>
      <w:pPr>
        <w:pStyle w:val="6"/>
        <w:bidi w:val="0"/>
        <w:rPr>
          <w:color w:val="auto"/>
          <w:highlight w:val="none"/>
        </w:rPr>
      </w:pPr>
      <w:bookmarkStart w:id="1162" w:name="_Toc8817"/>
      <w:bookmarkStart w:id="1163" w:name="_Toc6924"/>
      <w:bookmarkStart w:id="1164" w:name="_Toc17663"/>
      <w:bookmarkStart w:id="1165" w:name="_Toc140"/>
      <w:bookmarkStart w:id="1166" w:name="_Toc17196"/>
      <w:bookmarkStart w:id="1167" w:name="_Toc22948"/>
      <w:bookmarkStart w:id="1168" w:name="_Toc866"/>
      <w:bookmarkStart w:id="1169" w:name="_Toc8197"/>
      <w:bookmarkStart w:id="1170" w:name="_Toc29450"/>
      <w:bookmarkStart w:id="1171" w:name="_Toc17583"/>
      <w:r>
        <w:rPr>
          <w:color w:val="auto"/>
          <w:highlight w:val="none"/>
        </w:rPr>
        <w:t>7.</w:t>
      </w:r>
      <w:r>
        <w:rPr>
          <w:rFonts w:hint="eastAsia"/>
          <w:color w:val="auto"/>
          <w:highlight w:val="none"/>
          <w:lang w:val="en-US" w:eastAsia="zh-CN"/>
        </w:rPr>
        <w:t>2</w:t>
      </w:r>
      <w:r>
        <w:rPr>
          <w:color w:val="auto"/>
          <w:highlight w:val="none"/>
        </w:rPr>
        <w:t>社会效益</w:t>
      </w:r>
      <w:bookmarkEnd w:id="1162"/>
      <w:bookmarkEnd w:id="1163"/>
      <w:bookmarkEnd w:id="1164"/>
      <w:bookmarkEnd w:id="1165"/>
      <w:bookmarkEnd w:id="1166"/>
      <w:bookmarkEnd w:id="1167"/>
      <w:bookmarkEnd w:id="1168"/>
      <w:bookmarkEnd w:id="1169"/>
      <w:bookmarkEnd w:id="1170"/>
      <w:bookmarkEnd w:id="1171"/>
    </w:p>
    <w:p>
      <w:pPr>
        <w:bidi w:val="0"/>
        <w:rPr>
          <w:color w:val="auto"/>
          <w:highlight w:val="none"/>
        </w:rPr>
      </w:pPr>
      <w:r>
        <w:rPr>
          <w:rFonts w:hint="eastAsia"/>
          <w:color w:val="auto"/>
          <w:highlight w:val="none"/>
          <w:lang w:eastAsia="zh-CN"/>
        </w:rPr>
        <w:t>“</w:t>
      </w:r>
      <w:r>
        <w:rPr>
          <w:color w:val="auto"/>
          <w:highlight w:val="none"/>
        </w:rPr>
        <w:t>城市造纸</w:t>
      </w:r>
      <w:r>
        <w:rPr>
          <w:rFonts w:hint="eastAsia"/>
          <w:color w:val="auto"/>
          <w:highlight w:val="none"/>
          <w:lang w:eastAsia="zh-CN"/>
        </w:rPr>
        <w:t>”</w:t>
      </w:r>
      <w:r>
        <w:rPr>
          <w:color w:val="auto"/>
          <w:highlight w:val="none"/>
        </w:rPr>
        <w:t>已经和造林、造纸一体化的</w:t>
      </w:r>
      <w:r>
        <w:rPr>
          <w:rFonts w:hint="eastAsia"/>
          <w:color w:val="auto"/>
          <w:highlight w:val="none"/>
          <w:lang w:eastAsia="zh-CN"/>
        </w:rPr>
        <w:t>“</w:t>
      </w:r>
      <w:r>
        <w:rPr>
          <w:color w:val="auto"/>
          <w:highlight w:val="none"/>
        </w:rPr>
        <w:t>林浆纸一体</w:t>
      </w:r>
      <w:r>
        <w:rPr>
          <w:rFonts w:hint="eastAsia"/>
          <w:color w:val="auto"/>
          <w:highlight w:val="none"/>
          <w:lang w:eastAsia="zh-CN"/>
        </w:rPr>
        <w:t>”</w:t>
      </w:r>
      <w:r>
        <w:rPr>
          <w:color w:val="auto"/>
          <w:highlight w:val="none"/>
        </w:rPr>
        <w:t>一起成为现代造纸业的两大发展趋势。城市造纸同时还起到消纳城市垃圾的作用，体现</w:t>
      </w:r>
      <w:r>
        <w:rPr>
          <w:rFonts w:hint="eastAsia"/>
          <w:color w:val="auto"/>
          <w:highlight w:val="none"/>
          <w:lang w:eastAsia="zh-CN"/>
        </w:rPr>
        <w:t>“</w:t>
      </w:r>
      <w:r>
        <w:rPr>
          <w:color w:val="auto"/>
          <w:highlight w:val="none"/>
        </w:rPr>
        <w:t>城市发展、城市消纳</w:t>
      </w:r>
      <w:r>
        <w:rPr>
          <w:rFonts w:hint="eastAsia"/>
          <w:color w:val="auto"/>
          <w:highlight w:val="none"/>
          <w:lang w:eastAsia="zh-CN"/>
        </w:rPr>
        <w:t>”</w:t>
      </w:r>
      <w:r>
        <w:rPr>
          <w:color w:val="auto"/>
          <w:highlight w:val="none"/>
        </w:rPr>
        <w:t>的精神，它将是推动城镇化建设的重要步骤</w:t>
      </w:r>
      <w:r>
        <w:rPr>
          <w:rFonts w:hint="eastAsia"/>
          <w:color w:val="auto"/>
          <w:highlight w:val="none"/>
          <w:lang w:eastAsia="zh-CN"/>
        </w:rPr>
        <w:t>。</w:t>
      </w:r>
    </w:p>
    <w:p>
      <w:pPr>
        <w:bidi w:val="0"/>
        <w:rPr>
          <w:rFonts w:ascii="Times New Roman" w:hAnsi="Times New Roman" w:eastAsia="宋体" w:cs="Times New Roman"/>
          <w:caps w:val="0"/>
          <w:smallCaps w:val="0"/>
          <w:color w:val="auto"/>
          <w:spacing w:val="0"/>
          <w:w w:val="99"/>
          <w:position w:val="0"/>
          <w:szCs w:val="24"/>
          <w:highlight w:val="none"/>
        </w:rPr>
      </w:pPr>
      <w:r>
        <w:rPr>
          <w:color w:val="auto"/>
          <w:highlight w:val="none"/>
        </w:rPr>
        <w:t>本项目</w:t>
      </w:r>
      <w:r>
        <w:rPr>
          <w:rFonts w:hint="eastAsia"/>
          <w:color w:val="auto"/>
          <w:highlight w:val="none"/>
        </w:rPr>
        <w:t>漂白针叶木浆和</w:t>
      </w:r>
      <w:r>
        <w:rPr>
          <w:rFonts w:hint="eastAsia"/>
          <w:color w:val="auto"/>
          <w:highlight w:val="none"/>
          <w:lang w:eastAsia="zh-CN"/>
        </w:rPr>
        <w:t>木浆成份纸板</w:t>
      </w:r>
      <w:r>
        <w:rPr>
          <w:rFonts w:hint="eastAsia"/>
          <w:color w:val="auto"/>
          <w:highlight w:val="none"/>
        </w:rPr>
        <w:t>为原料，</w:t>
      </w:r>
      <w:r>
        <w:rPr>
          <w:color w:val="auto"/>
          <w:highlight w:val="none"/>
        </w:rPr>
        <w:t>无脱墨和漂白工序，原料经筛选、碎浆、纤维分离、磨浆、调浆、抄纸、打包后即为成品，项目</w:t>
      </w:r>
      <w:r>
        <w:rPr>
          <w:rFonts w:hint="eastAsia"/>
          <w:color w:val="auto"/>
          <w:highlight w:val="none"/>
          <w:lang w:eastAsia="zh-CN"/>
        </w:rPr>
        <w:t>改</w:t>
      </w:r>
      <w:r>
        <w:rPr>
          <w:color w:val="auto"/>
          <w:highlight w:val="none"/>
        </w:rPr>
        <w:t>建成后形成一条年产1万吨</w:t>
      </w:r>
      <w:r>
        <w:rPr>
          <w:rFonts w:hint="eastAsia"/>
          <w:color w:val="auto"/>
          <w:highlight w:val="none"/>
          <w:lang w:eastAsia="zh-CN"/>
        </w:rPr>
        <w:t>薄页纸、特种纸、纸板</w:t>
      </w:r>
      <w:r>
        <w:rPr>
          <w:color w:val="auto"/>
          <w:highlight w:val="none"/>
        </w:rPr>
        <w:t>生产线，可有效减少资源浪费，创造良好的社会效益。</w:t>
      </w:r>
    </w:p>
    <w:p>
      <w:pPr>
        <w:pStyle w:val="6"/>
        <w:bidi w:val="0"/>
        <w:rPr>
          <w:color w:val="auto"/>
          <w:highlight w:val="none"/>
        </w:rPr>
      </w:pPr>
      <w:bookmarkStart w:id="1172" w:name="_Toc6524"/>
      <w:bookmarkStart w:id="1173" w:name="_Toc23727"/>
      <w:bookmarkStart w:id="1174" w:name="_Toc19403"/>
      <w:bookmarkStart w:id="1175" w:name="_Toc11382"/>
      <w:bookmarkStart w:id="1176" w:name="_Toc15813"/>
      <w:bookmarkStart w:id="1177" w:name="_Toc11979"/>
      <w:bookmarkStart w:id="1178" w:name="_Toc9058"/>
      <w:bookmarkStart w:id="1179" w:name="_Toc27869"/>
      <w:bookmarkStart w:id="1180" w:name="_Toc26629"/>
      <w:bookmarkStart w:id="1181" w:name="_Toc28541"/>
      <w:r>
        <w:rPr>
          <w:color w:val="auto"/>
          <w:highlight w:val="none"/>
        </w:rPr>
        <w:t>7.</w:t>
      </w:r>
      <w:r>
        <w:rPr>
          <w:rFonts w:hint="eastAsia"/>
          <w:color w:val="auto"/>
          <w:highlight w:val="none"/>
          <w:lang w:val="en-US" w:eastAsia="zh-CN"/>
        </w:rPr>
        <w:t>3</w:t>
      </w:r>
      <w:r>
        <w:rPr>
          <w:color w:val="auto"/>
          <w:highlight w:val="none"/>
        </w:rPr>
        <w:t>环境效益</w:t>
      </w:r>
      <w:bookmarkEnd w:id="1172"/>
      <w:bookmarkEnd w:id="1173"/>
      <w:bookmarkEnd w:id="1174"/>
      <w:bookmarkEnd w:id="1175"/>
      <w:bookmarkEnd w:id="1176"/>
      <w:bookmarkEnd w:id="1177"/>
      <w:bookmarkEnd w:id="1178"/>
      <w:bookmarkEnd w:id="1179"/>
      <w:bookmarkEnd w:id="1180"/>
      <w:bookmarkEnd w:id="1181"/>
    </w:p>
    <w:p>
      <w:pPr>
        <w:bidi w:val="0"/>
        <w:spacing w:line="500" w:lineRule="exact"/>
        <w:ind w:firstLine="480" w:firstLineChars="200"/>
        <w:rPr>
          <w:rFonts w:hint="eastAsia" w:cs="Times New Roman"/>
          <w:color w:val="auto"/>
          <w:sz w:val="24"/>
          <w:highlight w:val="none"/>
          <w:lang w:eastAsia="zh-CN"/>
        </w:rPr>
      </w:pPr>
      <w:r>
        <w:rPr>
          <w:color w:val="auto"/>
          <w:sz w:val="24"/>
          <w:highlight w:val="none"/>
        </w:rPr>
        <w:t>本项目生产废水</w:t>
      </w:r>
      <w:r>
        <w:rPr>
          <w:rFonts w:hint="eastAsia"/>
          <w:color w:val="auto"/>
          <w:sz w:val="24"/>
          <w:highlight w:val="none"/>
          <w:lang w:eastAsia="zh-CN"/>
        </w:rPr>
        <w:t>、</w:t>
      </w:r>
      <w:r>
        <w:rPr>
          <w:color w:val="auto"/>
          <w:sz w:val="24"/>
          <w:highlight w:val="none"/>
        </w:rPr>
        <w:t>锅炉排水全部排入污水处理站，处理后全部回用于生产工艺；</w:t>
      </w:r>
      <w:r>
        <w:rPr>
          <w:rFonts w:hint="eastAsia"/>
          <w:color w:val="auto"/>
          <w:sz w:val="24"/>
          <w:highlight w:val="none"/>
          <w:lang w:eastAsia="zh-CN"/>
        </w:rPr>
        <w:t>生活污水</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p>
    <w:p>
      <w:pPr>
        <w:bidi w:val="0"/>
        <w:rPr>
          <w:color w:val="auto"/>
          <w:sz w:val="24"/>
          <w:highlight w:val="none"/>
        </w:rPr>
      </w:pPr>
      <w:r>
        <w:rPr>
          <w:rFonts w:hint="eastAsia"/>
          <w:color w:val="auto"/>
          <w:sz w:val="24"/>
          <w:highlight w:val="none"/>
          <w:lang w:eastAsia="zh-CN"/>
        </w:rPr>
        <w:t>生物质</w:t>
      </w:r>
      <w:r>
        <w:rPr>
          <w:color w:val="auto"/>
          <w:sz w:val="24"/>
          <w:highlight w:val="none"/>
        </w:rPr>
        <w:t>锅炉烟气由</w:t>
      </w:r>
      <w:r>
        <w:rPr>
          <w:rFonts w:hint="eastAsia"/>
          <w:color w:val="auto"/>
          <w:sz w:val="24"/>
          <w:highlight w:val="none"/>
          <w:lang w:eastAsia="zh-CN"/>
        </w:rPr>
        <w:t>袋式除尘</w:t>
      </w:r>
      <w:r>
        <w:rPr>
          <w:rFonts w:hint="eastAsia"/>
          <w:color w:val="auto"/>
          <w:sz w:val="24"/>
          <w:highlight w:val="none"/>
          <w:lang w:val="en-US" w:eastAsia="zh-CN"/>
        </w:rPr>
        <w:t>+35</w:t>
      </w:r>
      <w:r>
        <w:rPr>
          <w:color w:val="auto"/>
          <w:sz w:val="24"/>
          <w:highlight w:val="none"/>
        </w:rPr>
        <w:t>米高烟囱排出，排放浓度能够满足</w:t>
      </w:r>
      <w:r>
        <w:rPr>
          <w:rFonts w:hint="eastAsia"/>
          <w:color w:val="auto"/>
          <w:sz w:val="24"/>
          <w:highlight w:val="none"/>
        </w:rPr>
        <w:t>《锅炉大气污染物排放标准》（GB13271-2014）中的表2新建锅炉大气标准要求</w:t>
      </w:r>
      <w:r>
        <w:rPr>
          <w:color w:val="auto"/>
          <w:sz w:val="24"/>
          <w:highlight w:val="none"/>
        </w:rPr>
        <w:t>；</w:t>
      </w:r>
    </w:p>
    <w:p>
      <w:pPr>
        <w:bidi w:val="0"/>
        <w:rPr>
          <w:rFonts w:hint="eastAsia"/>
          <w:color w:val="auto"/>
          <w:sz w:val="24"/>
          <w:highlight w:val="none"/>
          <w:lang w:eastAsia="zh-CN"/>
        </w:rPr>
      </w:pPr>
      <w:r>
        <w:rPr>
          <w:rFonts w:hint="eastAsia"/>
          <w:color w:val="auto"/>
          <w:sz w:val="24"/>
          <w:highlight w:val="none"/>
          <w:lang w:eastAsia="zh-CN"/>
        </w:rPr>
        <w:t>污水处理站废气经负压集气</w:t>
      </w:r>
      <w:r>
        <w:rPr>
          <w:rFonts w:hint="eastAsia"/>
          <w:color w:val="auto"/>
          <w:sz w:val="24"/>
          <w:highlight w:val="none"/>
          <w:lang w:val="en-US" w:eastAsia="zh-CN"/>
        </w:rPr>
        <w:t>+活性炭吸附+15米高排气筒排放，有组织废气排放口NH</w:t>
      </w:r>
      <w:r>
        <w:rPr>
          <w:rFonts w:hint="eastAsia"/>
          <w:color w:val="auto"/>
          <w:sz w:val="24"/>
          <w:highlight w:val="none"/>
          <w:vertAlign w:val="subscript"/>
          <w:lang w:val="en-US" w:eastAsia="zh-CN"/>
        </w:rPr>
        <w:t>3</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S、臭气浓度能够满足《恶臭污染物排放标准》（GB14554-93）表2恶臭污染物排放标准值。</w:t>
      </w:r>
      <w:r>
        <w:rPr>
          <w:color w:val="auto"/>
          <w:sz w:val="24"/>
          <w:highlight w:val="none"/>
        </w:rPr>
        <w:t>污水处理站封闭，及时清掏污泥、加强厂区绿化，尽量控制无组织气体排放量，经大气稀释扩散后无组织H</w:t>
      </w:r>
      <w:r>
        <w:rPr>
          <w:color w:val="auto"/>
          <w:sz w:val="24"/>
          <w:highlight w:val="none"/>
          <w:vertAlign w:val="subscript"/>
        </w:rPr>
        <w:t>2</w:t>
      </w:r>
      <w:r>
        <w:rPr>
          <w:color w:val="auto"/>
          <w:sz w:val="24"/>
          <w:highlight w:val="none"/>
        </w:rPr>
        <w:t>S、NH</w:t>
      </w:r>
      <w:r>
        <w:rPr>
          <w:color w:val="auto"/>
          <w:sz w:val="24"/>
          <w:highlight w:val="none"/>
          <w:vertAlign w:val="subscript"/>
        </w:rPr>
        <w:t>3</w:t>
      </w:r>
      <w:r>
        <w:rPr>
          <w:color w:val="auto"/>
          <w:sz w:val="24"/>
          <w:highlight w:val="none"/>
        </w:rPr>
        <w:t>、臭气浓度可满足《恶臭污染物排放标准》</w:t>
      </w:r>
      <w:r>
        <w:rPr>
          <w:rFonts w:hint="eastAsia"/>
          <w:color w:val="auto"/>
          <w:sz w:val="24"/>
          <w:highlight w:val="none"/>
          <w:lang w:eastAsia="zh-CN"/>
        </w:rPr>
        <w:t>（</w:t>
      </w:r>
      <w:r>
        <w:rPr>
          <w:color w:val="auto"/>
          <w:sz w:val="24"/>
          <w:highlight w:val="none"/>
        </w:rPr>
        <w:t>GB14554-93）表1中二级新扩改建标准恶臭污染物厂界标准限值要求</w:t>
      </w:r>
      <w:r>
        <w:rPr>
          <w:rFonts w:hint="eastAsia"/>
          <w:color w:val="auto"/>
          <w:sz w:val="24"/>
          <w:highlight w:val="none"/>
          <w:lang w:eastAsia="zh-CN"/>
        </w:rPr>
        <w:t>；</w:t>
      </w:r>
    </w:p>
    <w:p>
      <w:pPr>
        <w:bidi w:val="0"/>
        <w:rPr>
          <w:color w:val="auto"/>
          <w:sz w:val="24"/>
          <w:highlight w:val="none"/>
        </w:rPr>
      </w:pPr>
      <w:r>
        <w:rPr>
          <w:color w:val="auto"/>
          <w:sz w:val="24"/>
          <w:highlight w:val="none"/>
        </w:rPr>
        <w:t>生产设备采取减震隔声等措施后，厂界达到《工业企业厂界环境噪声排放标准》</w:t>
      </w:r>
      <w:r>
        <w:rPr>
          <w:rFonts w:hint="eastAsia"/>
          <w:color w:val="auto"/>
          <w:sz w:val="24"/>
          <w:highlight w:val="none"/>
          <w:lang w:eastAsia="zh-CN"/>
        </w:rPr>
        <w:t>（</w:t>
      </w:r>
      <w:r>
        <w:rPr>
          <w:color w:val="auto"/>
          <w:sz w:val="24"/>
          <w:highlight w:val="none"/>
        </w:rPr>
        <w:t>GB12348-2008）表1中</w:t>
      </w:r>
      <w:r>
        <w:rPr>
          <w:rFonts w:hint="eastAsia"/>
          <w:color w:val="auto"/>
          <w:sz w:val="24"/>
          <w:highlight w:val="none"/>
          <w:lang w:val="en-US" w:eastAsia="zh-CN"/>
        </w:rPr>
        <w:t>3</w:t>
      </w:r>
      <w:r>
        <w:rPr>
          <w:color w:val="auto"/>
          <w:sz w:val="24"/>
          <w:highlight w:val="none"/>
        </w:rPr>
        <w:t>类标准；</w:t>
      </w:r>
    </w:p>
    <w:p>
      <w:pPr>
        <w:bidi w:val="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固体废物</w:t>
      </w:r>
      <w:r>
        <w:rPr>
          <w:rFonts w:hint="eastAsia" w:ascii="Times New Roman" w:hAnsi="Times New Roman" w:eastAsia="宋体" w:cs="Times New Roman"/>
          <w:color w:val="auto"/>
          <w:sz w:val="24"/>
          <w:highlight w:val="none"/>
          <w:lang w:eastAsia="zh-CN"/>
        </w:rPr>
        <w:t>为浆料分离产生的杂质、污水处理站固体废物、燃料灰渣、锅炉炉渣和捕集到的飞灰、废离子交换树脂、废润滑油，废</w:t>
      </w:r>
      <w:r>
        <w:rPr>
          <w:rFonts w:hint="eastAsia" w:ascii="Times New Roman" w:cs="Times New Roman"/>
          <w:color w:val="auto"/>
          <w:sz w:val="24"/>
          <w:highlight w:val="none"/>
          <w:lang w:eastAsia="zh-CN"/>
        </w:rPr>
        <w:t>活性炭，</w:t>
      </w:r>
      <w:r>
        <w:rPr>
          <w:rFonts w:ascii="Times New Roman" w:hAnsi="Times New Roman" w:eastAsia="宋体" w:cs="Times New Roman"/>
          <w:color w:val="auto"/>
          <w:sz w:val="24"/>
          <w:highlight w:val="none"/>
        </w:rPr>
        <w:t>均可以得到妥善处置；各项污染物均能达标排放，且项目建成后可节约能源、消纳城市垃圾，保护环境，总体来说，本项目的建设具有较好的环境效益。</w:t>
      </w:r>
    </w:p>
    <w:p>
      <w:pPr>
        <w:pStyle w:val="6"/>
        <w:bidi w:val="0"/>
        <w:rPr>
          <w:color w:val="auto"/>
          <w:highlight w:val="none"/>
        </w:rPr>
      </w:pPr>
      <w:bookmarkStart w:id="1182" w:name="_Toc8802"/>
      <w:bookmarkStart w:id="1183" w:name="_Toc3348"/>
      <w:bookmarkStart w:id="1184" w:name="_Toc4442"/>
      <w:bookmarkStart w:id="1185" w:name="_Toc10536"/>
      <w:bookmarkStart w:id="1186" w:name="_Toc31622"/>
      <w:bookmarkStart w:id="1187" w:name="_Toc72"/>
      <w:bookmarkStart w:id="1188" w:name="_Toc14722"/>
      <w:bookmarkStart w:id="1189" w:name="_Toc15326"/>
      <w:bookmarkStart w:id="1190" w:name="_Toc3045"/>
      <w:bookmarkStart w:id="1191" w:name="_Toc18849"/>
      <w:r>
        <w:rPr>
          <w:color w:val="auto"/>
          <w:highlight w:val="none"/>
        </w:rPr>
        <w:t>7.</w:t>
      </w:r>
      <w:bookmarkEnd w:id="1182"/>
      <w:bookmarkEnd w:id="1183"/>
      <w:bookmarkEnd w:id="1184"/>
      <w:bookmarkEnd w:id="1185"/>
      <w:bookmarkEnd w:id="1186"/>
      <w:bookmarkEnd w:id="1187"/>
      <w:bookmarkEnd w:id="1188"/>
      <w:bookmarkEnd w:id="1189"/>
      <w:r>
        <w:rPr>
          <w:rFonts w:hint="eastAsia"/>
          <w:color w:val="auto"/>
          <w:highlight w:val="none"/>
          <w:lang w:val="en-US" w:eastAsia="zh-CN"/>
        </w:rPr>
        <w:t>4</w:t>
      </w:r>
      <w:r>
        <w:rPr>
          <w:color w:val="auto"/>
          <w:highlight w:val="none"/>
        </w:rPr>
        <w:t>环保投资估算</w:t>
      </w:r>
      <w:bookmarkEnd w:id="1190"/>
      <w:bookmarkEnd w:id="1191"/>
    </w:p>
    <w:p>
      <w:pPr>
        <w:bidi w:val="0"/>
        <w:rPr>
          <w:color w:val="auto"/>
          <w:highlight w:val="none"/>
        </w:rPr>
      </w:pPr>
      <w:r>
        <w:rPr>
          <w:color w:val="auto"/>
          <w:highlight w:val="none"/>
        </w:rPr>
        <w:t>环保投资比按下式计算：</w:t>
      </w:r>
    </w:p>
    <w:p>
      <w:pPr>
        <w:pStyle w:val="11"/>
        <w:pageBreakBefore w:val="0"/>
        <w:widowControl w:val="0"/>
        <w:kinsoku/>
        <w:wordWrap/>
        <w:overflowPunct/>
        <w:topLinePunct w:val="0"/>
        <w:autoSpaceDE/>
        <w:autoSpaceDN/>
        <w:bidi w:val="0"/>
        <w:adjustRightInd/>
        <w:snapToGrid w:val="0"/>
        <w:spacing w:line="500" w:lineRule="exact"/>
        <w:ind w:firstLine="474" w:firstLineChars="200"/>
        <w:textAlignment w:val="auto"/>
        <w:rPr>
          <w:rFonts w:hint="eastAsia" w:ascii="Times New Roman" w:hAnsi="Times New Roman" w:eastAsia="宋体" w:cs="Times New Roman"/>
          <w:caps w:val="0"/>
          <w:smallCaps w:val="0"/>
          <w:color w:val="auto"/>
          <w:spacing w:val="0"/>
          <w:w w:val="99"/>
          <w:position w:val="0"/>
          <w:sz w:val="24"/>
          <w:szCs w:val="22"/>
          <w:highlight w:val="none"/>
          <w:lang w:eastAsia="zh-CN"/>
        </w:rPr>
      </w:pPr>
      <w:r>
        <w:rPr>
          <w:rFonts w:hint="eastAsia" w:ascii="Times New Roman" w:hAnsi="Times New Roman" w:eastAsia="宋体" w:cs="Times New Roman"/>
          <w:caps w:val="0"/>
          <w:smallCaps w:val="0"/>
          <w:color w:val="auto"/>
          <w:spacing w:val="0"/>
          <w:w w:val="99"/>
          <w:position w:val="0"/>
          <w:sz w:val="24"/>
          <w:szCs w:val="22"/>
          <w:highlight w:val="none"/>
          <w:lang w:eastAsia="zh-CN"/>
        </w:rPr>
        <w:drawing>
          <wp:inline distT="0" distB="0" distL="114300" distR="114300">
            <wp:extent cx="1666875" cy="238125"/>
            <wp:effectExtent l="0" t="0" r="9525" b="9525"/>
            <wp:docPr id="58" name="图片 5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1"/>
                    <pic:cNvPicPr>
                      <a:picLocks noChangeAspect="1"/>
                    </pic:cNvPicPr>
                  </pic:nvPicPr>
                  <pic:blipFill>
                    <a:blip r:embed="rId65"/>
                    <a:stretch>
                      <a:fillRect/>
                    </a:stretch>
                  </pic:blipFill>
                  <pic:spPr>
                    <a:xfrm>
                      <a:off x="0" y="0"/>
                      <a:ext cx="1666875" cy="238125"/>
                    </a:xfrm>
                    <a:prstGeom prst="rect">
                      <a:avLst/>
                    </a:prstGeom>
                    <a:noFill/>
                    <a:ln>
                      <a:noFill/>
                    </a:ln>
                  </pic:spPr>
                </pic:pic>
              </a:graphicData>
            </a:graphic>
          </wp:inline>
        </w:drawing>
      </w:r>
    </w:p>
    <w:p>
      <w:pPr>
        <w:bidi w:val="0"/>
        <w:rPr>
          <w:color w:val="auto"/>
          <w:highlight w:val="none"/>
        </w:rPr>
      </w:pPr>
      <w:r>
        <w:rPr>
          <w:color w:val="auto"/>
          <w:highlight w:val="none"/>
        </w:rPr>
        <w:t>式中：H</w:t>
      </w:r>
      <w:r>
        <w:rPr>
          <w:color w:val="auto"/>
          <w:highlight w:val="none"/>
          <w:vertAlign w:val="subscript"/>
        </w:rPr>
        <w:t>J</w:t>
      </w:r>
      <w:r>
        <w:rPr>
          <w:color w:val="auto"/>
          <w:highlight w:val="none"/>
        </w:rPr>
        <w:t>—环保费用投资比，100％；</w:t>
      </w:r>
    </w:p>
    <w:p>
      <w:pPr>
        <w:bidi w:val="0"/>
        <w:rPr>
          <w:color w:val="auto"/>
          <w:highlight w:val="none"/>
        </w:rPr>
      </w:pPr>
      <w:r>
        <w:rPr>
          <w:color w:val="auto"/>
          <w:highlight w:val="none"/>
        </w:rPr>
        <w:t>H</w:t>
      </w:r>
      <w:r>
        <w:rPr>
          <w:color w:val="auto"/>
          <w:highlight w:val="none"/>
          <w:vertAlign w:val="subscript"/>
        </w:rPr>
        <w:t>T</w:t>
      </w:r>
      <w:r>
        <w:rPr>
          <w:color w:val="auto"/>
          <w:highlight w:val="none"/>
        </w:rPr>
        <w:t>—环保投资，万元；</w:t>
      </w:r>
    </w:p>
    <w:p>
      <w:pPr>
        <w:bidi w:val="0"/>
        <w:rPr>
          <w:color w:val="auto"/>
          <w:highlight w:val="none"/>
        </w:rPr>
      </w:pPr>
      <w:r>
        <w:rPr>
          <w:color w:val="auto"/>
          <w:highlight w:val="none"/>
        </w:rPr>
        <w:t>J</w:t>
      </w:r>
      <w:r>
        <w:rPr>
          <w:color w:val="auto"/>
          <w:highlight w:val="none"/>
          <w:vertAlign w:val="subscript"/>
        </w:rPr>
        <w:t>I</w:t>
      </w:r>
      <w:r>
        <w:rPr>
          <w:color w:val="auto"/>
          <w:highlight w:val="none"/>
        </w:rPr>
        <w:t>—项目总投资，万元。</w:t>
      </w:r>
    </w:p>
    <w:p>
      <w:pPr>
        <w:bidi w:val="0"/>
        <w:rPr>
          <w:color w:val="auto"/>
          <w:highlight w:val="none"/>
        </w:rPr>
      </w:pPr>
      <w:r>
        <w:rPr>
          <w:color w:val="auto"/>
          <w:highlight w:val="none"/>
        </w:rPr>
        <w:t>本项目总投资为</w:t>
      </w:r>
      <w:r>
        <w:rPr>
          <w:rFonts w:hint="eastAsia"/>
          <w:color w:val="auto"/>
          <w:highlight w:val="none"/>
          <w:lang w:val="en-US" w:eastAsia="zh-CN"/>
        </w:rPr>
        <w:t>2700</w:t>
      </w:r>
      <w:r>
        <w:rPr>
          <w:color w:val="auto"/>
          <w:highlight w:val="none"/>
        </w:rPr>
        <w:t>万元，其中环保投资</w:t>
      </w:r>
      <w:r>
        <w:rPr>
          <w:rFonts w:hint="eastAsia"/>
          <w:color w:val="auto"/>
          <w:highlight w:val="none"/>
          <w:lang w:val="en-US" w:eastAsia="zh-CN"/>
        </w:rPr>
        <w:t>54</w:t>
      </w:r>
      <w:r>
        <w:rPr>
          <w:color w:val="auto"/>
          <w:highlight w:val="none"/>
        </w:rPr>
        <w:t>万元，占总投资的</w:t>
      </w:r>
      <w:r>
        <w:rPr>
          <w:rFonts w:hint="eastAsia"/>
          <w:color w:val="auto"/>
          <w:highlight w:val="none"/>
          <w:lang w:val="en-US" w:eastAsia="zh-CN"/>
        </w:rPr>
        <w:t>2</w:t>
      </w:r>
      <w:r>
        <w:rPr>
          <w:color w:val="auto"/>
          <w:highlight w:val="none"/>
        </w:rPr>
        <w:t>%。</w:t>
      </w:r>
    </w:p>
    <w:p>
      <w:pPr>
        <w:bidi w:val="0"/>
        <w:ind w:firstLine="1028"/>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7.4-1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运营期环保投资</w:t>
      </w:r>
      <w:r>
        <w:rPr>
          <w:rFonts w:hint="eastAsia" w:ascii="Times New Roman" w:hAnsi="Times New Roman" w:eastAsia="宋体" w:cs="Times New Roman"/>
          <w:color w:val="auto"/>
          <w:highlight w:val="none"/>
          <w:lang w:eastAsia="zh-CN"/>
        </w:rPr>
        <w:t>一览表</w:t>
      </w:r>
    </w:p>
    <w:tbl>
      <w:tblPr>
        <w:tblStyle w:val="23"/>
        <w:tblW w:w="876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0" w:type="dxa"/>
          <w:bottom w:w="0" w:type="dxa"/>
          <w:right w:w="0" w:type="dxa"/>
        </w:tblCellMar>
      </w:tblPr>
      <w:tblGrid>
        <w:gridCol w:w="1939"/>
        <w:gridCol w:w="5745"/>
        <w:gridCol w:w="1082"/>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类别</w:t>
            </w:r>
          </w:p>
        </w:tc>
        <w:tc>
          <w:tcPr>
            <w:tcW w:w="574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环保治理措施</w:t>
            </w:r>
          </w:p>
        </w:tc>
        <w:tc>
          <w:tcPr>
            <w:tcW w:w="1082"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投资费用</w:t>
            </w:r>
          </w:p>
          <w:p>
            <w:pPr>
              <w:pStyle w:val="31"/>
              <w:bidi w:val="0"/>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ascii="Times New Roman" w:hAnsi="Times New Roman" w:eastAsia="宋体" w:cs="Times New Roman"/>
                <w:color w:val="auto"/>
                <w:w w:val="100"/>
                <w:sz w:val="21"/>
                <w:highlight w:val="none"/>
              </w:rPr>
              <w:t>万元</w:t>
            </w:r>
            <w:r>
              <w:rPr>
                <w:rFonts w:hint="eastAsia" w:ascii="Times New Roman" w:hAnsi="Times New Roman" w:eastAsia="宋体" w:cs="Times New Roman"/>
                <w:color w:val="auto"/>
                <w:w w:val="100"/>
                <w:sz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废气</w:t>
            </w:r>
          </w:p>
        </w:tc>
        <w:tc>
          <w:tcPr>
            <w:tcW w:w="5745" w:type="dxa"/>
            <w:vAlign w:val="center"/>
          </w:tcPr>
          <w:p>
            <w:pPr>
              <w:pStyle w:val="31"/>
              <w:bidi w:val="0"/>
              <w:rPr>
                <w:rFonts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生物质</w:t>
            </w:r>
            <w:r>
              <w:rPr>
                <w:rFonts w:ascii="Times New Roman" w:hAnsi="Times New Roman" w:eastAsia="宋体" w:cs="Times New Roman"/>
                <w:color w:val="auto"/>
                <w:w w:val="100"/>
                <w:sz w:val="21"/>
                <w:highlight w:val="none"/>
              </w:rPr>
              <w:t>锅炉</w:t>
            </w:r>
            <w:r>
              <w:rPr>
                <w:rFonts w:hint="eastAsia" w:ascii="Times New Roman" w:hAnsi="Times New Roman" w:eastAsia="宋体" w:cs="Times New Roman"/>
                <w:color w:val="auto"/>
                <w:w w:val="100"/>
                <w:sz w:val="21"/>
                <w:highlight w:val="none"/>
                <w:lang w:eastAsia="zh-CN"/>
              </w:rPr>
              <w:t>烟气采取</w:t>
            </w:r>
            <w:r>
              <w:rPr>
                <w:rFonts w:hint="eastAsia" w:ascii="Times New Roman" w:hAnsi="Times New Roman" w:eastAsia="宋体" w:cs="Times New Roman"/>
                <w:color w:val="auto"/>
                <w:w w:val="100"/>
                <w:sz w:val="21"/>
                <w:highlight w:val="none"/>
                <w:lang w:val="en-US" w:eastAsia="zh-CN"/>
              </w:rPr>
              <w:t>袋式除尘+</w:t>
            </w:r>
            <w:r>
              <w:rPr>
                <w:rFonts w:hint="eastAsia" w:cs="Times New Roman"/>
                <w:color w:val="auto"/>
                <w:w w:val="100"/>
                <w:sz w:val="21"/>
                <w:highlight w:val="none"/>
                <w:lang w:val="en-US" w:eastAsia="zh-CN"/>
              </w:rPr>
              <w:t>3</w:t>
            </w:r>
            <w:r>
              <w:rPr>
                <w:rFonts w:ascii="Times New Roman" w:hAnsi="Times New Roman" w:eastAsia="宋体" w:cs="Times New Roman"/>
                <w:color w:val="auto"/>
                <w:w w:val="100"/>
                <w:sz w:val="21"/>
                <w:highlight w:val="none"/>
              </w:rPr>
              <w:t>5m高排气筒，</w:t>
            </w:r>
            <w:r>
              <w:rPr>
                <w:rFonts w:hint="eastAsia" w:ascii="Times New Roman" w:hAnsi="Times New Roman" w:eastAsia="宋体" w:cs="Times New Roman"/>
                <w:color w:val="auto"/>
                <w:w w:val="100"/>
                <w:sz w:val="21"/>
                <w:highlight w:val="none"/>
                <w:lang w:eastAsia="zh-CN"/>
              </w:rPr>
              <w:t>污水处理站废气采取负压集气</w:t>
            </w:r>
            <w:r>
              <w:rPr>
                <w:rFonts w:hint="eastAsia" w:ascii="Times New Roman" w:hAnsi="Times New Roman" w:eastAsia="宋体" w:cs="Times New Roman"/>
                <w:color w:val="auto"/>
                <w:w w:val="100"/>
                <w:sz w:val="21"/>
                <w:highlight w:val="none"/>
                <w:lang w:val="en-US" w:eastAsia="zh-CN"/>
              </w:rPr>
              <w:t>+活性炭吸附+15米高排气筒排放，</w:t>
            </w:r>
            <w:r>
              <w:rPr>
                <w:rFonts w:hint="eastAsia" w:ascii="Times New Roman" w:hAnsi="Times New Roman" w:eastAsia="宋体" w:cs="Times New Roman"/>
                <w:color w:val="auto"/>
                <w:w w:val="100"/>
                <w:sz w:val="21"/>
                <w:highlight w:val="none"/>
                <w:lang w:eastAsia="zh-CN"/>
              </w:rPr>
              <w:t>厂区</w:t>
            </w:r>
            <w:r>
              <w:rPr>
                <w:rFonts w:ascii="Times New Roman" w:hAnsi="Times New Roman" w:eastAsia="宋体" w:cs="Times New Roman"/>
                <w:color w:val="auto"/>
                <w:w w:val="100"/>
                <w:sz w:val="21"/>
                <w:highlight w:val="none"/>
              </w:rPr>
              <w:t>加强绿化</w:t>
            </w:r>
          </w:p>
        </w:tc>
        <w:tc>
          <w:tcPr>
            <w:tcW w:w="108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噪声</w:t>
            </w:r>
          </w:p>
        </w:tc>
        <w:tc>
          <w:tcPr>
            <w:tcW w:w="574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基础减震处理</w:t>
            </w:r>
          </w:p>
        </w:tc>
        <w:tc>
          <w:tcPr>
            <w:tcW w:w="108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固废</w:t>
            </w:r>
          </w:p>
        </w:tc>
        <w:tc>
          <w:tcPr>
            <w:tcW w:w="5745"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固废分类收集、暂存，防雨、防漏、防渗等。</w:t>
            </w:r>
          </w:p>
        </w:tc>
        <w:tc>
          <w:tcPr>
            <w:tcW w:w="1082" w:type="dxa"/>
            <w:vAlign w:val="center"/>
          </w:tcPr>
          <w:p>
            <w:pPr>
              <w:pStyle w:val="31"/>
              <w:bidi w:val="0"/>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环境管理和监测计划</w:t>
            </w:r>
          </w:p>
        </w:tc>
        <w:tc>
          <w:tcPr>
            <w:tcW w:w="5745"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设置地下水监测井，</w:t>
            </w:r>
            <w:r>
              <w:rPr>
                <w:rFonts w:hint="eastAsia" w:ascii="Times New Roman" w:cs="Times New Roman"/>
                <w:color w:val="auto"/>
                <w:w w:val="100"/>
                <w:sz w:val="21"/>
                <w:highlight w:val="none"/>
                <w:lang w:val="en-US" w:eastAsia="zh-CN"/>
              </w:rPr>
              <w:t>环境监测</w:t>
            </w:r>
          </w:p>
        </w:tc>
        <w:tc>
          <w:tcPr>
            <w:tcW w:w="1082" w:type="dxa"/>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14</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939" w:type="dxa"/>
            <w:vAlign w:val="center"/>
          </w:tcPr>
          <w:p>
            <w:pPr>
              <w:pStyle w:val="31"/>
              <w:bidi w:val="0"/>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合计</w:t>
            </w:r>
          </w:p>
        </w:tc>
        <w:tc>
          <w:tcPr>
            <w:tcW w:w="6827" w:type="dxa"/>
            <w:gridSpan w:val="2"/>
            <w:vAlign w:val="center"/>
          </w:tcPr>
          <w:p>
            <w:pPr>
              <w:pStyle w:val="31"/>
              <w:bidi w:val="0"/>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54</w:t>
            </w:r>
          </w:p>
        </w:tc>
      </w:tr>
    </w:tbl>
    <w:p>
      <w:pPr>
        <w:pStyle w:val="11"/>
        <w:snapToGrid w:val="0"/>
        <w:spacing w:line="360" w:lineRule="auto"/>
        <w:ind w:firstLine="474" w:firstLineChars="200"/>
        <w:rPr>
          <w:rFonts w:ascii="Times New Roman" w:hAnsi="Times New Roman" w:eastAsia="宋体" w:cs="Times New Roman"/>
          <w:caps w:val="0"/>
          <w:smallCaps w:val="0"/>
          <w:color w:val="auto"/>
          <w:spacing w:val="0"/>
          <w:w w:val="99"/>
          <w:position w:val="0"/>
          <w:highlight w:val="none"/>
        </w:rPr>
      </w:pPr>
    </w:p>
    <w:p>
      <w:pPr>
        <w:pStyle w:val="6"/>
        <w:bidi w:val="0"/>
        <w:rPr>
          <w:rFonts w:hint="default" w:eastAsia="宋体"/>
          <w:color w:val="auto"/>
          <w:highlight w:val="none"/>
          <w:lang w:val="en-US" w:eastAsia="zh-CN"/>
        </w:rPr>
      </w:pPr>
      <w:r>
        <w:rPr>
          <w:color w:val="auto"/>
          <w:highlight w:val="none"/>
        </w:rPr>
        <w:t>7.</w:t>
      </w:r>
      <w:r>
        <w:rPr>
          <w:rFonts w:hint="eastAsia"/>
          <w:color w:val="auto"/>
          <w:highlight w:val="none"/>
          <w:lang w:val="en-US" w:eastAsia="zh-CN"/>
        </w:rPr>
        <w:t>5分析结论</w:t>
      </w:r>
    </w:p>
    <w:p>
      <w:pPr>
        <w:bidi w:val="0"/>
        <w:rPr>
          <w:rFonts w:ascii="宋体" w:hAnsi="Times New Roman" w:eastAsia="宋体" w:cs="Times New Roman"/>
          <w:color w:val="auto"/>
          <w:sz w:val="24"/>
          <w:highlight w:val="none"/>
        </w:rPr>
      </w:pPr>
      <w:r>
        <w:rPr>
          <w:rFonts w:ascii="宋体" w:hAnsi="Times New Roman" w:eastAsia="宋体" w:cs="Times New Roman"/>
          <w:color w:val="auto"/>
          <w:sz w:val="24"/>
          <w:highlight w:val="none"/>
        </w:rPr>
        <w:t>通过以上对本项目建设的环境效益分析可知，在落实本评价所提出各项污染防治措施的前提下，本项目的建设能够达到经济效益和环境效益相统一的要求，满足可持续发展的要求，从环境经济的角度而言，项目建设是可行的。</w:t>
      </w:r>
    </w:p>
    <w:p>
      <w:pPr>
        <w:pStyle w:val="2"/>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5"/>
        <w:bidi w:val="0"/>
        <w:rPr>
          <w:color w:val="auto"/>
          <w:highlight w:val="none"/>
        </w:rPr>
      </w:pPr>
      <w:bookmarkStart w:id="1192" w:name="_Toc20535"/>
      <w:bookmarkStart w:id="1193" w:name="_Toc17991"/>
      <w:bookmarkStart w:id="1194" w:name="_Toc31744"/>
      <w:bookmarkStart w:id="1195" w:name="_Toc312"/>
      <w:bookmarkStart w:id="1196" w:name="_Toc5725"/>
      <w:bookmarkStart w:id="1197" w:name="_Toc25659"/>
      <w:bookmarkStart w:id="1198" w:name="_Toc21714"/>
      <w:bookmarkStart w:id="1199" w:name="_Toc25589"/>
      <w:bookmarkStart w:id="1200" w:name="_Toc27444"/>
      <w:r>
        <w:rPr>
          <w:color w:val="auto"/>
          <w:highlight w:val="none"/>
        </w:rPr>
        <w:t>8环境管理和环境监测计划</w:t>
      </w:r>
      <w:bookmarkEnd w:id="1192"/>
      <w:bookmarkEnd w:id="1193"/>
      <w:bookmarkEnd w:id="1194"/>
      <w:bookmarkEnd w:id="1195"/>
      <w:bookmarkEnd w:id="1196"/>
      <w:bookmarkEnd w:id="1197"/>
      <w:bookmarkEnd w:id="1198"/>
      <w:bookmarkEnd w:id="1199"/>
      <w:bookmarkEnd w:id="1200"/>
    </w:p>
    <w:p>
      <w:pPr>
        <w:pStyle w:val="6"/>
        <w:bidi w:val="0"/>
        <w:rPr>
          <w:color w:val="auto"/>
          <w:highlight w:val="none"/>
        </w:rPr>
      </w:pPr>
      <w:bookmarkStart w:id="1201" w:name="_Toc22499"/>
      <w:bookmarkStart w:id="1202" w:name="_Toc6310"/>
      <w:bookmarkStart w:id="1203" w:name="_Toc26532"/>
      <w:bookmarkStart w:id="1204" w:name="_Toc16310"/>
      <w:bookmarkStart w:id="1205" w:name="_Toc25620"/>
      <w:bookmarkStart w:id="1206" w:name="_Toc2026"/>
      <w:bookmarkStart w:id="1207" w:name="_Toc23610"/>
      <w:bookmarkStart w:id="1208" w:name="_Toc7185"/>
      <w:bookmarkStart w:id="1209" w:name="_Toc10353"/>
      <w:bookmarkStart w:id="1210" w:name="_Toc21172"/>
      <w:r>
        <w:rPr>
          <w:color w:val="auto"/>
          <w:highlight w:val="none"/>
        </w:rPr>
        <w:t>8.1环境管理</w:t>
      </w:r>
      <w:bookmarkEnd w:id="1201"/>
      <w:bookmarkEnd w:id="1202"/>
      <w:bookmarkEnd w:id="1203"/>
    </w:p>
    <w:p>
      <w:pPr>
        <w:bidi w:val="0"/>
        <w:rPr>
          <w:color w:val="auto"/>
          <w:highlight w:val="none"/>
        </w:rPr>
      </w:pPr>
      <w:r>
        <w:rPr>
          <w:color w:val="auto"/>
          <w:highlight w:val="none"/>
        </w:rPr>
        <w:t>环境管理是以环境科学理论为基础，运用经济、法律、技术、行政、教育等手段对经济、社会发展过程中施加给环境的污染和破坏影响进行调节控制，实现经济、社会和环境效益的和谐统一。对本项目来说，通过加强环境管理，建立相应的环境管理计划与监测计划，可以促进企业预防和治理污染，确保医院环保设施正常运行、排污达标；可以与企业管理相结合，调动广大员工防治污染、保护环境的积极性；可以避免许多因管理不善而产生的环境风险和对人群健康造成的危害，使建设项目对环境的危害控制在最小范围内。新建工程将环境管理工作纳入企业范围的环境管理体系，实行统一管理。</w:t>
      </w:r>
    </w:p>
    <w:p>
      <w:pPr>
        <w:pStyle w:val="7"/>
        <w:bidi w:val="0"/>
        <w:rPr>
          <w:color w:val="auto"/>
          <w:highlight w:val="none"/>
        </w:rPr>
      </w:pPr>
      <w:bookmarkStart w:id="1211" w:name="_Toc29504"/>
      <w:r>
        <w:rPr>
          <w:color w:val="auto"/>
          <w:highlight w:val="none"/>
        </w:rPr>
        <w:t>8.1.1环境管理体系</w:t>
      </w:r>
      <w:bookmarkEnd w:id="1211"/>
    </w:p>
    <w:p>
      <w:pPr>
        <w:bidi w:val="0"/>
        <w:rPr>
          <w:rFonts w:ascii="Times New Roman" w:hAnsi="Times New Roman" w:eastAsia="宋体" w:cs="Times New Roman"/>
          <w:caps w:val="0"/>
          <w:smallCaps w:val="0"/>
          <w:color w:val="auto"/>
          <w:spacing w:val="0"/>
          <w:w w:val="99"/>
          <w:position w:val="0"/>
          <w:szCs w:val="24"/>
          <w:highlight w:val="none"/>
        </w:rPr>
      </w:pPr>
      <w:r>
        <w:rPr>
          <w:color w:val="auto"/>
          <w:highlight w:val="none"/>
        </w:rPr>
        <w:t>企业环境管理体系作为企业管理体系中的一部分，应与之相协调统一。本工程建设后，厂内在生产技术部下要设有环保科，至少有一名专职环境管理人员。企业应委托有资质的监测机构进行常规监测。为使环境管理很好地贯穿于企业管理的整个过程，并落实到企业的各个层次，分解到生产的各个环节，把企业管理与环境管理紧密地结合起立，不但要建立完善的企业管理体系和各种规章制度，也要建立完善的环境管理体系，使企业的环境管理工作真正落到实处。</w:t>
      </w:r>
    </w:p>
    <w:p>
      <w:pPr>
        <w:pStyle w:val="7"/>
        <w:bidi w:val="0"/>
        <w:rPr>
          <w:color w:val="auto"/>
          <w:highlight w:val="none"/>
        </w:rPr>
      </w:pPr>
      <w:bookmarkStart w:id="1212" w:name="_Toc11137"/>
      <w:r>
        <w:rPr>
          <w:color w:val="auto"/>
          <w:highlight w:val="none"/>
        </w:rPr>
        <w:t>8.1.2环境管理计划</w:t>
      </w:r>
      <w:bookmarkEnd w:id="1212"/>
    </w:p>
    <w:p>
      <w:pPr>
        <w:bidi w:val="0"/>
        <w:rPr>
          <w:color w:val="auto"/>
          <w:highlight w:val="none"/>
        </w:rPr>
      </w:pPr>
      <w:r>
        <w:rPr>
          <w:color w:val="auto"/>
          <w:highlight w:val="none"/>
        </w:rPr>
        <w:t>环境管理的计划如下：</w:t>
      </w:r>
    </w:p>
    <w:p>
      <w:pPr>
        <w:bidi w:val="0"/>
        <w:rPr>
          <w:color w:val="auto"/>
          <w:highlight w:val="none"/>
        </w:rPr>
      </w:pP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按环保部门有关规定与环保要求，搞好厂区的环境管理，实施厂、车间、工段的三级管理体制。全体职工参与，隐患自除，责任自负，避免对周边环境的影响。</w:t>
      </w:r>
    </w:p>
    <w:p>
      <w:pPr>
        <w:bidi w:val="0"/>
        <w:rPr>
          <w:color w:val="auto"/>
          <w:highlight w:val="none"/>
        </w:rPr>
      </w:pP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加大力度提高全体职工的环保意识，对重要装置在岗职工进行技术培训的同时，还应对其进行有关的环保法、环保事故发生后的应急措施等方面的培训，努力做到持证上岗，完善自身管理。</w:t>
      </w:r>
    </w:p>
    <w:p>
      <w:pPr>
        <w:bidi w:val="0"/>
        <w:rPr>
          <w:color w:val="auto"/>
          <w:highlight w:val="none"/>
        </w:rPr>
      </w:pPr>
      <w:r>
        <w:rPr>
          <w:rFonts w:hint="eastAsia"/>
          <w:color w:val="auto"/>
          <w:highlight w:val="none"/>
          <w:lang w:eastAsia="zh-CN"/>
        </w:rPr>
        <w:t>（</w:t>
      </w:r>
      <w:r>
        <w:rPr>
          <w:color w:val="auto"/>
          <w:highlight w:val="none"/>
        </w:rPr>
        <w:t>3</w:t>
      </w:r>
      <w:r>
        <w:rPr>
          <w:rFonts w:hint="eastAsia"/>
          <w:color w:val="auto"/>
          <w:highlight w:val="none"/>
          <w:lang w:eastAsia="zh-CN"/>
        </w:rPr>
        <w:t>）</w:t>
      </w:r>
      <w:r>
        <w:rPr>
          <w:color w:val="auto"/>
          <w:highlight w:val="none"/>
        </w:rPr>
        <w:t>加强环境管理，制定与环保有关的完善的规章制度，切实落到实处。</w:t>
      </w:r>
    </w:p>
    <w:p>
      <w:pPr>
        <w:bidi w:val="0"/>
        <w:rPr>
          <w:color w:val="auto"/>
          <w:highlight w:val="none"/>
        </w:rPr>
      </w:pPr>
      <w:r>
        <w:rPr>
          <w:color w:val="auto"/>
          <w:highlight w:val="none"/>
        </w:rPr>
        <w:t>根据本工程的废气、废渣及噪声等产污环节，环保人员负责每日的环境保护工作的检查和管理，具体内容如下：</w:t>
      </w:r>
    </w:p>
    <w:p>
      <w:pPr>
        <w:bidi w:val="0"/>
        <w:rPr>
          <w:color w:val="auto"/>
          <w:highlight w:val="none"/>
        </w:rPr>
      </w:pPr>
      <w:r>
        <w:rPr>
          <w:color w:val="auto"/>
          <w:highlight w:val="none"/>
        </w:rPr>
        <w:t>①确保废气治理设备正常运行，控制废气污染物排放量及各项污染物浓度指标严格按照排放。</w:t>
      </w:r>
    </w:p>
    <w:p>
      <w:pPr>
        <w:bidi w:val="0"/>
        <w:rPr>
          <w:rFonts w:ascii="Times New Roman" w:hAnsi="Times New Roman" w:eastAsia="宋体" w:cs="Times New Roman"/>
          <w:caps w:val="0"/>
          <w:smallCaps w:val="0"/>
          <w:color w:val="auto"/>
          <w:spacing w:val="0"/>
          <w:w w:val="99"/>
          <w:position w:val="0"/>
          <w:szCs w:val="24"/>
          <w:highlight w:val="none"/>
        </w:rPr>
      </w:pPr>
      <w:r>
        <w:rPr>
          <w:color w:val="auto"/>
          <w:highlight w:val="none"/>
        </w:rPr>
        <w:t>②确保各噪声控制设备的正常运行，保证厂界噪声环保部门的规定要求直满足国家标准的要求。</w:t>
      </w:r>
    </w:p>
    <w:p>
      <w:pPr>
        <w:pStyle w:val="7"/>
        <w:bidi w:val="0"/>
        <w:rPr>
          <w:color w:val="auto"/>
          <w:highlight w:val="none"/>
        </w:rPr>
      </w:pPr>
      <w:bookmarkStart w:id="1213" w:name="_Toc23935"/>
      <w:r>
        <w:rPr>
          <w:color w:val="auto"/>
          <w:highlight w:val="none"/>
        </w:rPr>
        <w:t>8.1.3加强环境管理的对策</w:t>
      </w:r>
      <w:bookmarkEnd w:id="1213"/>
    </w:p>
    <w:p>
      <w:pPr>
        <w:bidi w:val="0"/>
        <w:rPr>
          <w:color w:val="auto"/>
          <w:highlight w:val="none"/>
        </w:rPr>
      </w:pPr>
      <w:r>
        <w:rPr>
          <w:color w:val="auto"/>
          <w:highlight w:val="none"/>
        </w:rPr>
        <w:t>为使本工程的环境管理落到实处，将制定以下的对策：</w:t>
      </w:r>
    </w:p>
    <w:p>
      <w:pPr>
        <w:bidi w:val="0"/>
        <w:rPr>
          <w:color w:val="auto"/>
          <w:highlight w:val="none"/>
        </w:rPr>
      </w:pP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规范各种环境管理规章制度</w:t>
      </w:r>
    </w:p>
    <w:p>
      <w:pPr>
        <w:bidi w:val="0"/>
        <w:rPr>
          <w:color w:val="auto"/>
          <w:highlight w:val="none"/>
        </w:rPr>
      </w:pPr>
      <w:r>
        <w:rPr>
          <w:color w:val="auto"/>
          <w:highlight w:val="none"/>
        </w:rPr>
        <w:t>企业应将各种环境管理规章制度下发到车间，组织全体员工学习和贯彻执行。这些规章制度包括：</w:t>
      </w:r>
    </w:p>
    <w:p>
      <w:pPr>
        <w:bidi w:val="0"/>
        <w:rPr>
          <w:color w:val="auto"/>
          <w:highlight w:val="none"/>
        </w:rPr>
      </w:pPr>
      <w:r>
        <w:rPr>
          <w:color w:val="auto"/>
          <w:highlight w:val="none"/>
        </w:rPr>
        <w:t>①国家的环境保护法律、法规。达到国家规定的环境保护要求是实现环境管理的最低要求。</w:t>
      </w:r>
    </w:p>
    <w:p>
      <w:pPr>
        <w:bidi w:val="0"/>
        <w:rPr>
          <w:color w:val="auto"/>
          <w:highlight w:val="none"/>
        </w:rPr>
      </w:pPr>
      <w:r>
        <w:rPr>
          <w:color w:val="auto"/>
          <w:highlight w:val="none"/>
        </w:rPr>
        <w:t>②车间有关环境管理的技术规程、标准，主要包括：污染物排放控制标准；生产工艺、设备的环境技术管理规程；环境保护设备的操作规程等。</w:t>
      </w:r>
    </w:p>
    <w:p>
      <w:pPr>
        <w:bidi w:val="0"/>
        <w:rPr>
          <w:color w:val="auto"/>
          <w:highlight w:val="none"/>
        </w:rPr>
      </w:pPr>
      <w:r>
        <w:rPr>
          <w:color w:val="auto"/>
          <w:highlight w:val="none"/>
        </w:rPr>
        <w:t>③车间环境保护责任制：各类人员的环境保护工作范围，应负的责任，以及相应的权利。</w:t>
      </w:r>
    </w:p>
    <w:p>
      <w:pPr>
        <w:bidi w:val="0"/>
        <w:rPr>
          <w:color w:val="auto"/>
          <w:highlight w:val="none"/>
        </w:rPr>
      </w:pP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依靠技术进步，改革工艺，减少排污，要不断研究采用无污染或少污染的生产工艺技术，把污染消灭在生产过程中，结合技术改造，不断提高资源和能源的利用率，降低能耗及水耗，提高回收利用率，减少废物排放量。</w:t>
      </w:r>
    </w:p>
    <w:p>
      <w:pPr>
        <w:bidi w:val="0"/>
        <w:rPr>
          <w:color w:val="auto"/>
          <w:highlight w:val="none"/>
        </w:rPr>
      </w:pPr>
      <w:r>
        <w:rPr>
          <w:rFonts w:hint="eastAsia"/>
          <w:color w:val="auto"/>
          <w:highlight w:val="none"/>
          <w:lang w:eastAsia="zh-CN"/>
        </w:rPr>
        <w:t>（</w:t>
      </w:r>
      <w:r>
        <w:rPr>
          <w:color w:val="auto"/>
          <w:highlight w:val="none"/>
        </w:rPr>
        <w:t>3</w:t>
      </w:r>
      <w:r>
        <w:rPr>
          <w:rFonts w:hint="eastAsia"/>
          <w:color w:val="auto"/>
          <w:highlight w:val="none"/>
          <w:lang w:eastAsia="zh-CN"/>
        </w:rPr>
        <w:t>）</w:t>
      </w:r>
      <w:r>
        <w:rPr>
          <w:color w:val="auto"/>
          <w:highlight w:val="none"/>
        </w:rPr>
        <w:t>加强对污染防治措施的管理，不断提高污染防治的技术水平，使现有的污染防治措施充分发挥作用，减少污染物排放总量。</w:t>
      </w:r>
    </w:p>
    <w:p>
      <w:pPr>
        <w:bidi w:val="0"/>
        <w:rPr>
          <w:color w:val="auto"/>
          <w:highlight w:val="none"/>
        </w:rPr>
      </w:pPr>
      <w:r>
        <w:rPr>
          <w:rFonts w:hint="eastAsia"/>
          <w:color w:val="auto"/>
          <w:highlight w:val="none"/>
          <w:lang w:eastAsia="zh-CN"/>
        </w:rPr>
        <w:t>（</w:t>
      </w:r>
      <w:r>
        <w:rPr>
          <w:color w:val="auto"/>
          <w:highlight w:val="none"/>
        </w:rPr>
        <w:t>4</w:t>
      </w:r>
      <w:r>
        <w:rPr>
          <w:rFonts w:hint="eastAsia"/>
          <w:color w:val="auto"/>
          <w:highlight w:val="none"/>
          <w:lang w:eastAsia="zh-CN"/>
        </w:rPr>
        <w:t>）</w:t>
      </w:r>
      <w:r>
        <w:rPr>
          <w:color w:val="auto"/>
          <w:highlight w:val="none"/>
        </w:rPr>
        <w:t>加强监测，定期如实地总结监测数据，分析环保问题所在，及时向主管领导汇报并及时解决。</w:t>
      </w:r>
    </w:p>
    <w:p>
      <w:pPr>
        <w:pStyle w:val="6"/>
        <w:bidi w:val="0"/>
        <w:rPr>
          <w:color w:val="auto"/>
          <w:highlight w:val="none"/>
        </w:rPr>
      </w:pPr>
      <w:bookmarkStart w:id="1214" w:name="_Toc29324"/>
      <w:bookmarkStart w:id="1215" w:name="_Toc501094418"/>
      <w:bookmarkStart w:id="1216" w:name="_Toc21896"/>
      <w:bookmarkStart w:id="1217" w:name="_Toc24181"/>
      <w:r>
        <w:rPr>
          <w:color w:val="auto"/>
          <w:highlight w:val="none"/>
        </w:rPr>
        <w:t>8.2污染物排放清单及管理要求</w:t>
      </w:r>
      <w:bookmarkEnd w:id="1214"/>
      <w:bookmarkEnd w:id="1215"/>
      <w:bookmarkEnd w:id="1216"/>
      <w:bookmarkEnd w:id="1217"/>
    </w:p>
    <w:p>
      <w:pPr>
        <w:pStyle w:val="7"/>
        <w:bidi w:val="0"/>
        <w:rPr>
          <w:color w:val="auto"/>
          <w:highlight w:val="none"/>
        </w:rPr>
      </w:pPr>
      <w:bookmarkStart w:id="1218" w:name="_Toc24883"/>
      <w:r>
        <w:rPr>
          <w:color w:val="auto"/>
          <w:highlight w:val="none"/>
        </w:rPr>
        <w:t>8.2.1污染源排放清单</w:t>
      </w:r>
      <w:bookmarkEnd w:id="1218"/>
    </w:p>
    <w:p>
      <w:pPr>
        <w:bidi w:val="0"/>
        <w:rPr>
          <w:color w:val="auto"/>
          <w:highlight w:val="none"/>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bookmarkStart w:id="1219" w:name="_Toc16140"/>
      <w:bookmarkStart w:id="1220" w:name="_Toc27518"/>
      <w:r>
        <w:rPr>
          <w:color w:val="auto"/>
          <w:highlight w:val="none"/>
        </w:rPr>
        <w:t>本项目主要排放的污染物为颗粒物、SO</w:t>
      </w:r>
      <w:r>
        <w:rPr>
          <w:color w:val="auto"/>
          <w:highlight w:val="none"/>
          <w:vertAlign w:val="subscript"/>
        </w:rPr>
        <w:t>2</w:t>
      </w:r>
      <w:r>
        <w:rPr>
          <w:color w:val="auto"/>
          <w:highlight w:val="none"/>
        </w:rPr>
        <w:t>、NO</w:t>
      </w:r>
      <w:r>
        <w:rPr>
          <w:color w:val="auto"/>
          <w:highlight w:val="none"/>
          <w:vertAlign w:val="subscript"/>
        </w:rPr>
        <w:t>X</w:t>
      </w:r>
      <w:r>
        <w:rPr>
          <w:color w:val="auto"/>
          <w:highlight w:val="none"/>
        </w:rPr>
        <w:t>以及各类固体废物</w:t>
      </w:r>
      <w:r>
        <w:rPr>
          <w:rFonts w:hint="eastAsia"/>
          <w:color w:val="auto"/>
          <w:highlight w:val="none"/>
          <w:lang w:eastAsia="zh-CN"/>
        </w:rPr>
        <w:t>，</w:t>
      </w:r>
      <w:r>
        <w:rPr>
          <w:color w:val="auto"/>
          <w:highlight w:val="none"/>
        </w:rPr>
        <w:t>见表</w:t>
      </w:r>
      <w:r>
        <w:rPr>
          <w:rFonts w:hint="eastAsia"/>
          <w:color w:val="auto"/>
          <w:highlight w:val="none"/>
          <w:lang w:val="en-US" w:eastAsia="zh-CN"/>
        </w:rPr>
        <w:t>8.2.1-1</w:t>
      </w:r>
      <w:r>
        <w:rPr>
          <w:color w:val="auto"/>
          <w:highlight w:val="none"/>
        </w:rPr>
        <w:t>。</w:t>
      </w:r>
      <w:bookmarkEnd w:id="1219"/>
      <w:bookmarkEnd w:id="1220"/>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8.2.1-1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污染物产生及排放情况一览表</w:t>
      </w:r>
    </w:p>
    <w:tbl>
      <w:tblPr>
        <w:tblStyle w:val="23"/>
        <w:tblW w:w="1399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697"/>
        <w:gridCol w:w="941"/>
        <w:gridCol w:w="1172"/>
        <w:gridCol w:w="2367"/>
        <w:gridCol w:w="1178"/>
        <w:gridCol w:w="1318"/>
        <w:gridCol w:w="945"/>
        <w:gridCol w:w="1141"/>
        <w:gridCol w:w="25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68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项目</w:t>
            </w: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产污环节</w:t>
            </w:r>
          </w:p>
        </w:tc>
        <w:tc>
          <w:tcPr>
            <w:tcW w:w="94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废气量m</w:t>
            </w:r>
            <w:r>
              <w:rPr>
                <w:rFonts w:hint="eastAsia"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rPr>
              <w:t>/a</w:t>
            </w: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污染物</w:t>
            </w:r>
          </w:p>
        </w:tc>
        <w:tc>
          <w:tcPr>
            <w:tcW w:w="236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治理措施</w:t>
            </w:r>
          </w:p>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及净化效率</w:t>
            </w:r>
          </w:p>
        </w:tc>
        <w:tc>
          <w:tcPr>
            <w:tcW w:w="117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排放浓度</w:t>
            </w:r>
          </w:p>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mg/m</w:t>
            </w:r>
            <w:r>
              <w:rPr>
                <w:rFonts w:hint="eastAsia"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131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排放标准</w:t>
            </w:r>
          </w:p>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mg/m</w:t>
            </w:r>
            <w:r>
              <w:rPr>
                <w:rFonts w:hint="eastAsia" w:ascii="Times New Roman" w:hAnsi="Times New Roman" w:eastAsia="宋体" w:cs="Times New Roman"/>
                <w:color w:val="auto"/>
                <w:w w:val="100"/>
                <w:sz w:val="21"/>
                <w:highlight w:val="none"/>
                <w:vertAlign w:val="superscript"/>
              </w:rPr>
              <w:t>3</w:t>
            </w:r>
            <w:r>
              <w:rPr>
                <w:rFonts w:hint="eastAsia" w:ascii="Times New Roman" w:hAnsi="Times New Roman" w:eastAsia="宋体" w:cs="Times New Roman"/>
                <w:color w:val="auto"/>
                <w:w w:val="100"/>
                <w:sz w:val="21"/>
                <w:highlight w:val="none"/>
                <w:lang w:eastAsia="zh-CN"/>
              </w:rPr>
              <w:t>）</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达标情况</w:t>
            </w:r>
          </w:p>
        </w:tc>
        <w:tc>
          <w:tcPr>
            <w:tcW w:w="114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排放量</w:t>
            </w:r>
          </w:p>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t/a）</w:t>
            </w:r>
          </w:p>
        </w:tc>
        <w:tc>
          <w:tcPr>
            <w:tcW w:w="255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废气</w:t>
            </w:r>
          </w:p>
        </w:tc>
        <w:tc>
          <w:tcPr>
            <w:tcW w:w="1697"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cs="Times New Roman"/>
                <w:color w:val="auto"/>
                <w:w w:val="100"/>
                <w:sz w:val="21"/>
                <w:highlight w:val="none"/>
                <w:lang w:eastAsia="zh-CN"/>
              </w:rPr>
              <w:t>生物质</w:t>
            </w:r>
            <w:r>
              <w:rPr>
                <w:rFonts w:hint="eastAsia" w:ascii="Times New Roman" w:hAnsi="Times New Roman" w:eastAsia="宋体" w:cs="Times New Roman"/>
                <w:color w:val="auto"/>
                <w:w w:val="100"/>
                <w:sz w:val="21"/>
                <w:highlight w:val="none"/>
              </w:rPr>
              <w:t>锅炉</w:t>
            </w:r>
          </w:p>
        </w:tc>
        <w:tc>
          <w:tcPr>
            <w:tcW w:w="94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468</w:t>
            </w:r>
            <w:r>
              <w:rPr>
                <w:rFonts w:hint="eastAsia" w:ascii="Times New Roman" w:hAnsi="Times New Roman" w:eastAsia="宋体" w:cs="Times New Roman"/>
                <w:color w:val="auto"/>
                <w:w w:val="100"/>
                <w:sz w:val="21"/>
                <w:highlight w:val="none"/>
              </w:rPr>
              <w:t>万</w:t>
            </w: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颗粒物</w:t>
            </w:r>
          </w:p>
        </w:tc>
        <w:tc>
          <w:tcPr>
            <w:tcW w:w="2367"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eastAsia="zh-CN"/>
              </w:rPr>
              <w:t>袋式除尘</w:t>
            </w:r>
            <w:r>
              <w:rPr>
                <w:rFonts w:hint="eastAsia" w:ascii="Times New Roman" w:hAnsi="Times New Roman" w:eastAsia="宋体" w:cs="Times New Roman"/>
                <w:color w:val="auto"/>
                <w:w w:val="100"/>
                <w:sz w:val="21"/>
                <w:highlight w:val="none"/>
                <w:lang w:val="en-US" w:eastAsia="zh-CN"/>
              </w:rPr>
              <w:t>+3</w:t>
            </w:r>
            <w:r>
              <w:rPr>
                <w:rFonts w:hint="eastAsia" w:ascii="Times New Roman" w:hAnsi="Times New Roman" w:eastAsia="宋体" w:cs="Times New Roman"/>
                <w:color w:val="auto"/>
                <w:w w:val="100"/>
                <w:sz w:val="21"/>
                <w:highlight w:val="none"/>
              </w:rPr>
              <w:t>5m高排气筒排放</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0.24</w:t>
            </w:r>
          </w:p>
        </w:tc>
        <w:tc>
          <w:tcPr>
            <w:tcW w:w="1318"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eastAsia="zh-CN"/>
              </w:rPr>
              <w:t>5</w:t>
            </w:r>
            <w:r>
              <w:rPr>
                <w:rFonts w:hint="eastAsia" w:cs="Times New Roman"/>
                <w:color w:val="auto"/>
                <w:w w:val="100"/>
                <w:sz w:val="21"/>
                <w:highlight w:val="none"/>
                <w:lang w:val="en-US" w:eastAsia="zh-CN"/>
              </w:rPr>
              <w:t>0</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w w:val="100"/>
                <w:sz w:val="21"/>
                <w:highlight w:val="none"/>
                <w:lang w:val="en-US" w:eastAsia="zh-CN"/>
              </w:rPr>
            </w:pPr>
            <w:r>
              <w:rPr>
                <w:rFonts w:hint="eastAsia" w:cs="Times New Roman"/>
                <w:color w:val="auto"/>
                <w:spacing w:val="0"/>
                <w:w w:val="100"/>
                <w:position w:val="0"/>
                <w:sz w:val="21"/>
                <w:szCs w:val="21"/>
                <w:highlight w:val="none"/>
                <w:lang w:val="en-US" w:eastAsia="zh-CN"/>
              </w:rPr>
              <w:t>0.00625</w:t>
            </w:r>
          </w:p>
        </w:tc>
        <w:tc>
          <w:tcPr>
            <w:tcW w:w="255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《锅炉大气污染物排放标准》</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GB13271-2014）中的表2</w:t>
            </w:r>
            <w:r>
              <w:rPr>
                <w:rFonts w:hint="eastAsia" w:cs="Times New Roman"/>
                <w:color w:val="auto"/>
                <w:w w:val="100"/>
                <w:sz w:val="21"/>
                <w:highlight w:val="none"/>
                <w:lang w:eastAsia="zh-CN"/>
              </w:rPr>
              <w:t>新建锅炉</w:t>
            </w:r>
            <w:r>
              <w:rPr>
                <w:rFonts w:hint="eastAsia" w:ascii="Times New Roman" w:hAnsi="Times New Roman" w:eastAsia="宋体" w:cs="Times New Roman"/>
                <w:color w:val="auto"/>
                <w:w w:val="100"/>
                <w:sz w:val="21"/>
                <w:highlight w:val="none"/>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SO</w:t>
            </w:r>
            <w:r>
              <w:rPr>
                <w:rFonts w:hint="eastAsia" w:ascii="Times New Roman" w:hAnsi="Times New Roman" w:eastAsia="宋体" w:cs="Times New Roman"/>
                <w:color w:val="auto"/>
                <w:w w:val="100"/>
                <w:sz w:val="21"/>
                <w:highlight w:val="none"/>
                <w:vertAlign w:val="subscript"/>
              </w:rPr>
              <w:t>2</w:t>
            </w:r>
          </w:p>
        </w:tc>
        <w:tc>
          <w:tcPr>
            <w:tcW w:w="236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54.</w:t>
            </w:r>
            <w:r>
              <w:rPr>
                <w:rFonts w:hint="eastAsia" w:cs="Times New Roman"/>
                <w:color w:val="auto"/>
                <w:spacing w:val="0"/>
                <w:w w:val="100"/>
                <w:position w:val="0"/>
                <w:sz w:val="21"/>
                <w:szCs w:val="21"/>
                <w:highlight w:val="none"/>
                <w:lang w:val="en-US" w:eastAsia="zh-CN"/>
              </w:rPr>
              <w:t>2</w:t>
            </w:r>
          </w:p>
        </w:tc>
        <w:tc>
          <w:tcPr>
            <w:tcW w:w="1318"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300</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w w:val="100"/>
                <w:sz w:val="21"/>
                <w:highlight w:val="none"/>
                <w:lang w:val="en-US" w:eastAsia="zh-CN"/>
              </w:rPr>
            </w:pPr>
            <w:r>
              <w:rPr>
                <w:rFonts w:hint="eastAsia" w:cs="Times New Roman"/>
                <w:color w:val="auto"/>
                <w:spacing w:val="0"/>
                <w:w w:val="100"/>
                <w:position w:val="0"/>
                <w:sz w:val="21"/>
                <w:szCs w:val="21"/>
                <w:highlight w:val="none"/>
                <w:lang w:val="en-US" w:eastAsia="zh-CN"/>
              </w:rPr>
              <w:t>1.41</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NO</w:t>
            </w:r>
            <w:r>
              <w:rPr>
                <w:rFonts w:hint="eastAsia" w:ascii="Times New Roman" w:hAnsi="Times New Roman" w:eastAsia="宋体" w:cs="Times New Roman"/>
                <w:color w:val="auto"/>
                <w:w w:val="100"/>
                <w:sz w:val="21"/>
                <w:highlight w:val="none"/>
                <w:vertAlign w:val="subscript"/>
              </w:rPr>
              <w:t>x</w:t>
            </w:r>
          </w:p>
        </w:tc>
        <w:tc>
          <w:tcPr>
            <w:tcW w:w="236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163.</w:t>
            </w:r>
            <w:r>
              <w:rPr>
                <w:rFonts w:hint="eastAsia" w:cs="Times New Roman"/>
                <w:color w:val="auto"/>
                <w:spacing w:val="0"/>
                <w:w w:val="100"/>
                <w:position w:val="0"/>
                <w:sz w:val="21"/>
                <w:szCs w:val="21"/>
                <w:highlight w:val="none"/>
                <w:lang w:val="en-US" w:eastAsia="zh-CN"/>
              </w:rPr>
              <w:t>5</w:t>
            </w:r>
          </w:p>
        </w:tc>
        <w:tc>
          <w:tcPr>
            <w:tcW w:w="1318"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300</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w w:val="100"/>
                <w:sz w:val="21"/>
                <w:highlight w:val="none"/>
                <w:lang w:val="en-US" w:eastAsia="zh-CN"/>
              </w:rPr>
            </w:pPr>
            <w:r>
              <w:rPr>
                <w:rFonts w:hint="eastAsia" w:cs="Times New Roman"/>
                <w:color w:val="auto"/>
                <w:spacing w:val="0"/>
                <w:w w:val="100"/>
                <w:position w:val="0"/>
                <w:sz w:val="21"/>
                <w:szCs w:val="21"/>
                <w:highlight w:val="none"/>
                <w:lang w:val="en-US" w:eastAsia="zh-CN"/>
              </w:rPr>
              <w:t>4.25</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污水处理站</w:t>
            </w:r>
          </w:p>
        </w:tc>
        <w:tc>
          <w:tcPr>
            <w:tcW w:w="94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w:t>
            </w: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NH</w:t>
            </w:r>
            <w:r>
              <w:rPr>
                <w:rFonts w:hint="eastAsia" w:ascii="Times New Roman" w:hAnsi="Times New Roman" w:eastAsia="宋体" w:cs="Times New Roman"/>
                <w:color w:val="auto"/>
                <w:w w:val="100"/>
                <w:sz w:val="21"/>
                <w:highlight w:val="none"/>
                <w:vertAlign w:val="subscript"/>
              </w:rPr>
              <w:t>3</w:t>
            </w:r>
          </w:p>
        </w:tc>
        <w:tc>
          <w:tcPr>
            <w:tcW w:w="2367" w:type="dxa"/>
            <w:vMerge w:val="restart"/>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负压集气</w:t>
            </w:r>
            <w:r>
              <w:rPr>
                <w:rFonts w:hint="eastAsia" w:ascii="Times New Roman" w:hAnsi="Times New Roman" w:eastAsia="宋体" w:cs="Times New Roman"/>
                <w:color w:val="auto"/>
                <w:w w:val="100"/>
                <w:sz w:val="21"/>
                <w:highlight w:val="none"/>
                <w:lang w:val="en-US" w:eastAsia="zh-CN"/>
              </w:rPr>
              <w:t>+活性炭吸附+15米高排气筒</w:t>
            </w:r>
          </w:p>
        </w:tc>
        <w:tc>
          <w:tcPr>
            <w:tcW w:w="1178"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0.0082</w:t>
            </w:r>
            <w:r>
              <w:rPr>
                <w:rFonts w:hint="eastAsia" w:ascii="Times New Roman" w:hAnsi="Times New Roman" w:eastAsia="宋体" w:cs="Times New Roman"/>
                <w:color w:val="auto"/>
                <w:w w:val="100"/>
                <w:sz w:val="21"/>
                <w:highlight w:val="none"/>
                <w:lang w:val="en-US" w:eastAsia="zh-CN"/>
              </w:rPr>
              <w:t>（kg/h）</w:t>
            </w:r>
          </w:p>
        </w:tc>
        <w:tc>
          <w:tcPr>
            <w:tcW w:w="131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val="en-US" w:eastAsia="zh-CN"/>
              </w:rPr>
              <w:t>4.9</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lang w:val="en-US" w:eastAsia="zh-CN"/>
              </w:rPr>
              <w:t>kg/h</w:t>
            </w:r>
            <w:r>
              <w:rPr>
                <w:rFonts w:hint="eastAsia" w:ascii="Times New Roman" w:hAnsi="Times New Roman" w:eastAsia="宋体" w:cs="Times New Roman"/>
                <w:color w:val="auto"/>
                <w:w w:val="100"/>
                <w:sz w:val="21"/>
                <w:highlight w:val="none"/>
                <w:lang w:eastAsia="zh-CN"/>
              </w:rPr>
              <w:t>）</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0.0648</w:t>
            </w:r>
          </w:p>
        </w:tc>
        <w:tc>
          <w:tcPr>
            <w:tcW w:w="255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有组织废气排放口NH3、H2S、臭气浓度执行《恶臭污染物排放标准》（GB14554-93）表2恶臭污染物排放标准值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H</w:t>
            </w:r>
            <w:r>
              <w:rPr>
                <w:rFonts w:hint="eastAsia" w:ascii="Times New Roman" w:hAnsi="Times New Roman" w:eastAsia="宋体" w:cs="Times New Roman"/>
                <w:color w:val="auto"/>
                <w:w w:val="100"/>
                <w:sz w:val="21"/>
                <w:highlight w:val="none"/>
                <w:vertAlign w:val="subscript"/>
              </w:rPr>
              <w:t>2</w:t>
            </w:r>
            <w:r>
              <w:rPr>
                <w:rFonts w:hint="eastAsia" w:ascii="Times New Roman" w:hAnsi="Times New Roman" w:eastAsia="宋体" w:cs="Times New Roman"/>
                <w:color w:val="auto"/>
                <w:w w:val="100"/>
                <w:sz w:val="21"/>
                <w:highlight w:val="none"/>
              </w:rPr>
              <w:t>S</w:t>
            </w:r>
          </w:p>
        </w:tc>
        <w:tc>
          <w:tcPr>
            <w:tcW w:w="236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8"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0.00032</w:t>
            </w:r>
            <w:r>
              <w:rPr>
                <w:rFonts w:hint="eastAsia" w:ascii="Times New Roman" w:hAnsi="Times New Roman" w:eastAsia="宋体" w:cs="Times New Roman"/>
                <w:color w:val="auto"/>
                <w:w w:val="100"/>
                <w:sz w:val="21"/>
                <w:highlight w:val="none"/>
                <w:lang w:val="en-US" w:eastAsia="zh-CN"/>
              </w:rPr>
              <w:t>（kg/h）</w:t>
            </w:r>
          </w:p>
        </w:tc>
        <w:tc>
          <w:tcPr>
            <w:tcW w:w="131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val="en-US" w:eastAsia="zh-CN"/>
              </w:rPr>
              <w:t>0.33</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lang w:val="en-US" w:eastAsia="zh-CN"/>
              </w:rPr>
              <w:t>kg/h</w:t>
            </w:r>
            <w:r>
              <w:rPr>
                <w:rFonts w:hint="eastAsia" w:ascii="Times New Roman" w:hAnsi="Times New Roman" w:eastAsia="宋体" w:cs="Times New Roman"/>
                <w:color w:val="auto"/>
                <w:w w:val="100"/>
                <w:sz w:val="21"/>
                <w:highlight w:val="none"/>
                <w:lang w:eastAsia="zh-CN"/>
              </w:rPr>
              <w:t>）</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0.00252</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臭气浓度</w:t>
            </w:r>
          </w:p>
        </w:tc>
        <w:tc>
          <w:tcPr>
            <w:tcW w:w="2367"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17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w:t>
            </w:r>
          </w:p>
        </w:tc>
        <w:tc>
          <w:tcPr>
            <w:tcW w:w="1318"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20</w:t>
            </w:r>
            <w:r>
              <w:rPr>
                <w:rFonts w:hint="eastAsia" w:ascii="Times New Roman" w:hAnsi="Times New Roman" w:eastAsia="宋体" w:cs="Times New Roman"/>
                <w:color w:val="auto"/>
                <w:w w:val="100"/>
                <w:sz w:val="21"/>
                <w:highlight w:val="none"/>
                <w:lang w:val="en-US" w:eastAsia="zh-CN"/>
              </w:rPr>
              <w:t>00</w:t>
            </w:r>
            <w:r>
              <w:rPr>
                <w:rFonts w:hint="eastAsia" w:ascii="Times New Roman" w:hAnsi="Times New Roman" w:eastAsia="宋体" w:cs="Times New Roman"/>
                <w:color w:val="auto"/>
                <w:w w:val="100"/>
                <w:sz w:val="21"/>
                <w:highlight w:val="none"/>
              </w:rPr>
              <w:t>无量纲</w:t>
            </w:r>
          </w:p>
        </w:tc>
        <w:tc>
          <w:tcPr>
            <w:tcW w:w="94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达标</w:t>
            </w:r>
          </w:p>
        </w:tc>
        <w:tc>
          <w:tcPr>
            <w:tcW w:w="114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8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废水</w:t>
            </w:r>
          </w:p>
        </w:tc>
        <w:tc>
          <w:tcPr>
            <w:tcW w:w="13310" w:type="dxa"/>
            <w:gridSpan w:val="9"/>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rPr>
              <w:t>生产废</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锅炉排水</w:t>
            </w:r>
            <w:r>
              <w:rPr>
                <w:rFonts w:hint="eastAsia" w:ascii="Times New Roman" w:hAnsi="Times New Roman" w:eastAsia="宋体" w:cs="Times New Roman"/>
                <w:color w:val="auto"/>
                <w:w w:val="100"/>
                <w:sz w:val="21"/>
                <w:highlight w:val="none"/>
                <w:lang w:eastAsia="zh-CN"/>
              </w:rPr>
              <w:t>生活污水</w:t>
            </w:r>
            <w:r>
              <w:rPr>
                <w:rFonts w:hint="eastAsia" w:ascii="Times New Roman" w:hAnsi="Times New Roman" w:eastAsia="宋体" w:cs="Times New Roman"/>
                <w:color w:val="auto"/>
                <w:w w:val="100"/>
                <w:sz w:val="21"/>
                <w:highlight w:val="none"/>
              </w:rPr>
              <w:t>，全部排入污水处理站，处理后全部回用于生产工艺</w:t>
            </w:r>
            <w:r>
              <w:rPr>
                <w:rFonts w:hint="eastAsia" w:ascii="Times New Roman" w:hAnsi="Times New Roman" w:eastAsia="宋体" w:cs="Times New Roman"/>
                <w:color w:val="auto"/>
                <w:w w:val="100"/>
                <w:sz w:val="21"/>
                <w:highlight w:val="none"/>
                <w:lang w:eastAsia="zh-CN"/>
              </w:rPr>
              <w:t>。生活污</w:t>
            </w:r>
            <w:r>
              <w:rPr>
                <w:rFonts w:hint="eastAsia" w:cs="Times New Roman"/>
                <w:color w:val="auto"/>
                <w:w w:val="100"/>
                <w:sz w:val="21"/>
                <w:highlight w:val="none"/>
                <w:lang w:eastAsia="zh-CN"/>
              </w:rPr>
              <w:t>水排入厂区防渗旱厕，定期清掏堆肥。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固体废物</w:t>
            </w: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产污环节</w:t>
            </w:r>
          </w:p>
        </w:tc>
        <w:tc>
          <w:tcPr>
            <w:tcW w:w="94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r>
              <w:rPr>
                <w:rFonts w:hint="eastAsia" w:ascii="Times New Roman" w:hAnsi="Times New Roman" w:eastAsia="宋体" w:cs="Times New Roman"/>
                <w:color w:val="auto"/>
                <w:w w:val="100"/>
                <w:sz w:val="21"/>
                <w:highlight w:val="none"/>
                <w:lang w:val="en-US"/>
              </w:rPr>
              <w:t>——</w:t>
            </w: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污染物</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de-DE"/>
              </w:rPr>
              <w:t>处置措施</w:t>
            </w:r>
          </w:p>
        </w:tc>
        <w:tc>
          <w:tcPr>
            <w:tcW w:w="114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排放量t/a</w:t>
            </w:r>
          </w:p>
        </w:tc>
        <w:tc>
          <w:tcPr>
            <w:tcW w:w="255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生活办公</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生活垃圾</w:t>
            </w:r>
          </w:p>
        </w:tc>
        <w:tc>
          <w:tcPr>
            <w:tcW w:w="5808" w:type="dxa"/>
            <w:gridSpan w:val="4"/>
            <w:tcBorders>
              <w:tl2br w:val="nil"/>
              <w:tr2bl w:val="nil"/>
            </w:tcBorders>
            <w:vAlign w:val="center"/>
          </w:tcPr>
          <w:p>
            <w:pPr>
              <w:pStyle w:val="31"/>
              <w:bidi w:val="0"/>
              <w:spacing w:line="240" w:lineRule="auto"/>
              <w:rPr>
                <w:rFonts w:hint="eastAsia"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由当地环卫部门统一处置</w:t>
            </w:r>
          </w:p>
        </w:tc>
        <w:tc>
          <w:tcPr>
            <w:tcW w:w="1141" w:type="dxa"/>
            <w:tcBorders>
              <w:tl2br w:val="nil"/>
              <w:tr2bl w:val="nil"/>
            </w:tcBorders>
            <w:vAlign w:val="center"/>
          </w:tcPr>
          <w:p>
            <w:pPr>
              <w:pStyle w:val="31"/>
              <w:bidi w:val="0"/>
              <w:spacing w:line="240" w:lineRule="auto"/>
              <w:rPr>
                <w:rFonts w:hint="default" w:cs="Times New Roman"/>
                <w:color w:val="auto"/>
                <w:w w:val="100"/>
                <w:sz w:val="21"/>
                <w:highlight w:val="none"/>
                <w:lang w:val="en-US" w:eastAsia="zh-CN"/>
              </w:rPr>
            </w:pPr>
            <w:r>
              <w:rPr>
                <w:rFonts w:hint="eastAsia" w:cs="Times New Roman"/>
                <w:color w:val="auto"/>
                <w:w w:val="100"/>
                <w:sz w:val="21"/>
                <w:highlight w:val="none"/>
                <w:lang w:val="en-US" w:eastAsia="zh-CN"/>
              </w:rPr>
              <w:t>1.24</w:t>
            </w:r>
          </w:p>
        </w:tc>
        <w:tc>
          <w:tcPr>
            <w:tcW w:w="2551" w:type="dxa"/>
            <w:vMerge w:val="restart"/>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eastAsia="zh-CN"/>
              </w:rPr>
            </w:pPr>
            <w:r>
              <w:rPr>
                <w:rFonts w:hint="eastAsia" w:ascii="Times New Roman" w:cs="Times New Roman"/>
                <w:color w:val="auto"/>
                <w:w w:val="100"/>
                <w:sz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除砂、纤维分离</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杂质</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lang w:val="en-US" w:eastAsia="zh-CN"/>
              </w:rPr>
              <w:t>定期外售给收购企业进行资源化利用</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335</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污水处理站</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污泥</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default" w:ascii="Times New Roman" w:hAnsi="Times New Roman" w:eastAsia="宋体" w:cs="Times New Roman"/>
                <w:color w:val="auto"/>
                <w:spacing w:val="0"/>
                <w:w w:val="100"/>
                <w:position w:val="0"/>
                <w:sz w:val="21"/>
                <w:szCs w:val="21"/>
                <w:highlight w:val="none"/>
                <w:lang w:eastAsia="zh-CN"/>
              </w:rPr>
              <w:t>污泥干化后</w:t>
            </w:r>
            <w:r>
              <w:rPr>
                <w:rFonts w:hint="eastAsia" w:cs="Times New Roman"/>
                <w:color w:val="auto"/>
                <w:spacing w:val="0"/>
                <w:w w:val="100"/>
                <w:position w:val="0"/>
                <w:sz w:val="21"/>
                <w:szCs w:val="21"/>
                <w:highlight w:val="none"/>
                <w:lang w:eastAsia="zh-CN"/>
              </w:rPr>
              <w:t>，</w:t>
            </w:r>
            <w:r>
              <w:rPr>
                <w:rFonts w:hint="eastAsia" w:ascii="Times New Roman" w:hAnsi="Times New Roman" w:eastAsia="宋体" w:cs="Times New Roman"/>
                <w:color w:val="auto"/>
                <w:spacing w:val="0"/>
                <w:w w:val="100"/>
                <w:position w:val="0"/>
                <w:sz w:val="21"/>
                <w:szCs w:val="21"/>
                <w:highlight w:val="none"/>
                <w:lang w:eastAsia="zh-CN"/>
              </w:rPr>
              <w:t>定期外售</w:t>
            </w:r>
            <w:r>
              <w:rPr>
                <w:rFonts w:ascii="Times New Roman" w:hAnsi="Times New Roman" w:eastAsia="宋体" w:cs="Times New Roman"/>
                <w:color w:val="auto"/>
                <w:spacing w:val="0"/>
                <w:w w:val="100"/>
                <w:position w:val="0"/>
                <w:sz w:val="21"/>
                <w:szCs w:val="21"/>
                <w:highlight w:val="none"/>
              </w:rPr>
              <w:t>给砖厂制砖</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765</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锅炉</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锅炉灰渣</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val="en-US" w:eastAsia="zh-CN"/>
              </w:rPr>
              <w:t>定期外售给收购企业进行资源化利用</w:t>
            </w:r>
          </w:p>
        </w:tc>
        <w:tc>
          <w:tcPr>
            <w:tcW w:w="1141" w:type="dxa"/>
            <w:tcBorders>
              <w:tl2br w:val="nil"/>
              <w:tr2bl w:val="nil"/>
            </w:tcBorders>
            <w:vAlign w:val="center"/>
          </w:tcPr>
          <w:p>
            <w:pPr>
              <w:pStyle w:val="31"/>
              <w:bidi w:val="0"/>
              <w:spacing w:line="240" w:lineRule="auto"/>
              <w:rPr>
                <w:rFonts w:hint="default" w:cs="Times New Roman"/>
                <w:color w:val="auto"/>
                <w:w w:val="100"/>
                <w:sz w:val="21"/>
                <w:highlight w:val="none"/>
                <w:lang w:val="en-US" w:eastAsia="zh-CN"/>
              </w:rPr>
            </w:pPr>
            <w:r>
              <w:rPr>
                <w:rFonts w:hint="eastAsia" w:cs="Times New Roman"/>
                <w:color w:val="auto"/>
                <w:w w:val="100"/>
                <w:sz w:val="21"/>
                <w:highlight w:val="none"/>
                <w:lang w:val="en-US" w:eastAsia="zh-CN"/>
              </w:rPr>
              <w:t>138.58</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锅炉软化水</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废离子交换树脂</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由生产厂家上门更换时回收处置</w:t>
            </w:r>
          </w:p>
        </w:tc>
        <w:tc>
          <w:tcPr>
            <w:tcW w:w="114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0.1</w:t>
            </w:r>
          </w:p>
        </w:tc>
        <w:tc>
          <w:tcPr>
            <w:tcW w:w="255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维修、保养</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废润滑油</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危险废物暂存间暂存后，委托有资质单位处置</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0.1</w:t>
            </w:r>
          </w:p>
        </w:tc>
        <w:tc>
          <w:tcPr>
            <w:tcW w:w="2551" w:type="dxa"/>
            <w:vMerge w:val="restart"/>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default" w:ascii="Times New Roman" w:hAnsi="Times New Roman" w:eastAsia="宋体" w:cs="Times New Roman"/>
                <w:color w:val="auto"/>
                <w:w w:val="100"/>
                <w:sz w:val="21"/>
                <w:highlight w:val="none"/>
              </w:rPr>
              <w:t>《危险废物贮存污染控制标准》</w:t>
            </w:r>
            <w:r>
              <w:rPr>
                <w:rFonts w:hint="eastAsia" w:ascii="Times New Roman" w:hAnsi="Times New Roman" w:eastAsia="宋体" w:cs="Times New Roman"/>
                <w:color w:val="auto"/>
                <w:w w:val="100"/>
                <w:sz w:val="21"/>
                <w:highlight w:val="none"/>
                <w:lang w:eastAsia="zh-CN"/>
              </w:rPr>
              <w:t>（</w:t>
            </w:r>
            <w:r>
              <w:rPr>
                <w:rFonts w:hint="default" w:ascii="Times New Roman" w:hAnsi="Times New Roman" w:eastAsia="宋体" w:cs="Times New Roman"/>
                <w:color w:val="auto"/>
                <w:w w:val="100"/>
                <w:sz w:val="21"/>
                <w:highlight w:val="none"/>
              </w:rPr>
              <w:t>GB18597-20</w:t>
            </w:r>
            <w:r>
              <w:rPr>
                <w:rFonts w:hint="eastAsia" w:ascii="Times New Roman" w:cs="Times New Roman"/>
                <w:color w:val="auto"/>
                <w:w w:val="100"/>
                <w:sz w:val="21"/>
                <w:highlight w:val="none"/>
                <w:lang w:val="en-US" w:eastAsia="zh-CN"/>
              </w:rPr>
              <w:t>23</w:t>
            </w:r>
            <w:r>
              <w:rPr>
                <w:rFonts w:hint="default" w:ascii="Times New Roman" w:hAnsi="Times New Roman" w:eastAsia="宋体" w:cs="Times New Roman"/>
                <w:color w:val="auto"/>
                <w:w w:val="100"/>
                <w:sz w:val="21"/>
                <w:highlight w:val="none"/>
              </w:rPr>
              <w:t>）</w:t>
            </w:r>
            <w:r>
              <w:rPr>
                <w:rFonts w:hint="eastAsia" w:ascii="Times New Roman" w:cs="Times New Roman"/>
                <w:color w:val="auto"/>
                <w:w w:val="100"/>
                <w:sz w:val="21"/>
                <w:highlight w:val="none"/>
                <w:lang w:val="en-US" w:eastAsia="zh-CN"/>
              </w:rP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685"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p>
        </w:tc>
        <w:tc>
          <w:tcPr>
            <w:tcW w:w="1697"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val="en-US" w:eastAsia="zh-CN"/>
              </w:rPr>
              <w:t>废气治理措施</w:t>
            </w:r>
          </w:p>
        </w:tc>
        <w:tc>
          <w:tcPr>
            <w:tcW w:w="941" w:type="dxa"/>
            <w:vMerge w:val="continue"/>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val="en-US"/>
              </w:rPr>
            </w:pPr>
          </w:p>
        </w:tc>
        <w:tc>
          <w:tcPr>
            <w:tcW w:w="1172"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ascii="Times New Roman" w:hAnsi="Times New Roman" w:eastAsia="宋体" w:cs="Times New Roman"/>
                <w:color w:val="auto"/>
                <w:w w:val="100"/>
                <w:sz w:val="21"/>
                <w:highlight w:val="none"/>
                <w:lang w:eastAsia="zh-CN"/>
              </w:rPr>
              <w:t>废</w:t>
            </w:r>
            <w:r>
              <w:rPr>
                <w:rFonts w:hint="eastAsia" w:ascii="Times New Roman" w:cs="Times New Roman"/>
                <w:color w:val="auto"/>
                <w:w w:val="100"/>
                <w:sz w:val="21"/>
                <w:highlight w:val="none"/>
                <w:lang w:eastAsia="zh-CN"/>
              </w:rPr>
              <w:t>活性炭</w:t>
            </w:r>
          </w:p>
        </w:tc>
        <w:tc>
          <w:tcPr>
            <w:tcW w:w="5808" w:type="dxa"/>
            <w:gridSpan w:val="4"/>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lang w:eastAsia="zh-CN"/>
              </w:rPr>
            </w:pPr>
            <w:r>
              <w:rPr>
                <w:rFonts w:hint="eastAsia" w:ascii="Times New Roman" w:hAnsi="Times New Roman" w:eastAsia="宋体" w:cs="Times New Roman"/>
                <w:color w:val="auto"/>
                <w:w w:val="100"/>
                <w:sz w:val="21"/>
                <w:highlight w:val="none"/>
                <w:lang w:eastAsia="zh-CN"/>
              </w:rPr>
              <w:t>危险废物暂存间暂存后，委托有资质单位处置</w:t>
            </w:r>
          </w:p>
        </w:tc>
        <w:tc>
          <w:tcPr>
            <w:tcW w:w="1141" w:type="dxa"/>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lang w:val="en-US" w:eastAsia="zh-CN"/>
              </w:rPr>
            </w:pPr>
            <w:r>
              <w:rPr>
                <w:rFonts w:hint="eastAsia" w:cs="Times New Roman"/>
                <w:color w:val="auto"/>
                <w:w w:val="100"/>
                <w:sz w:val="21"/>
                <w:highlight w:val="none"/>
                <w:lang w:val="en-US" w:eastAsia="zh-CN"/>
              </w:rPr>
              <w:t>1.</w:t>
            </w:r>
            <w:r>
              <w:rPr>
                <w:rFonts w:hint="eastAsia" w:ascii="Times New Roman" w:hAnsi="Times New Roman" w:eastAsia="宋体" w:cs="Times New Roman"/>
                <w:color w:val="auto"/>
                <w:w w:val="100"/>
                <w:sz w:val="21"/>
                <w:highlight w:val="none"/>
                <w:lang w:val="en-US" w:eastAsia="zh-CN"/>
              </w:rPr>
              <w:t>2</w:t>
            </w:r>
          </w:p>
        </w:tc>
        <w:tc>
          <w:tcPr>
            <w:tcW w:w="2551" w:type="dxa"/>
            <w:vMerge w:val="continue"/>
            <w:tcBorders>
              <w:tl2br w:val="nil"/>
              <w:tr2bl w:val="nil"/>
            </w:tcBorders>
            <w:vAlign w:val="center"/>
          </w:tcPr>
          <w:p>
            <w:pPr>
              <w:pStyle w:val="31"/>
              <w:bidi w:val="0"/>
              <w:spacing w:line="240" w:lineRule="auto"/>
              <w:rPr>
                <w:rFonts w:hint="default" w:ascii="Times New Roman" w:hAnsi="Times New Roman" w:eastAsia="宋体" w:cs="Times New Roman"/>
                <w:color w:val="auto"/>
                <w:w w:val="100"/>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85"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噪声</w:t>
            </w:r>
          </w:p>
        </w:tc>
        <w:tc>
          <w:tcPr>
            <w:tcW w:w="10759" w:type="dxa"/>
            <w:gridSpan w:val="8"/>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采取减震隔声措施</w:t>
            </w:r>
          </w:p>
        </w:tc>
        <w:tc>
          <w:tcPr>
            <w:tcW w:w="2551" w:type="dxa"/>
            <w:tcBorders>
              <w:tl2br w:val="nil"/>
              <w:tr2bl w:val="nil"/>
            </w:tcBorders>
            <w:vAlign w:val="center"/>
          </w:tcPr>
          <w:p>
            <w:pPr>
              <w:pStyle w:val="31"/>
              <w:bidi w:val="0"/>
              <w:spacing w:line="240" w:lineRule="auto"/>
              <w:rPr>
                <w:rFonts w:hint="eastAsia" w:ascii="Times New Roman" w:hAnsi="Times New Roman" w:eastAsia="宋体" w:cs="Times New Roman"/>
                <w:color w:val="auto"/>
                <w:w w:val="100"/>
                <w:sz w:val="21"/>
                <w:highlight w:val="none"/>
              </w:rPr>
            </w:pPr>
            <w:r>
              <w:rPr>
                <w:rFonts w:hint="eastAsia" w:ascii="Times New Roman" w:hAnsi="Times New Roman" w:eastAsia="宋体" w:cs="Times New Roman"/>
                <w:color w:val="auto"/>
                <w:w w:val="100"/>
                <w:sz w:val="21"/>
                <w:highlight w:val="none"/>
              </w:rPr>
              <w:t>《工业企业厂界环境噪声排放标准》</w:t>
            </w:r>
            <w:r>
              <w:rPr>
                <w:rFonts w:hint="eastAsia" w:ascii="Times New Roman" w:hAnsi="Times New Roman" w:eastAsia="宋体" w:cs="Times New Roman"/>
                <w:color w:val="auto"/>
                <w:w w:val="100"/>
                <w:sz w:val="21"/>
                <w:highlight w:val="none"/>
                <w:lang w:eastAsia="zh-CN"/>
              </w:rPr>
              <w:t>（</w:t>
            </w:r>
            <w:r>
              <w:rPr>
                <w:rFonts w:hint="eastAsia" w:ascii="Times New Roman" w:hAnsi="Times New Roman" w:eastAsia="宋体" w:cs="Times New Roman"/>
                <w:color w:val="auto"/>
                <w:w w:val="100"/>
                <w:sz w:val="21"/>
                <w:highlight w:val="none"/>
              </w:rPr>
              <w:t>GB12348－2008）</w:t>
            </w:r>
            <w:r>
              <w:rPr>
                <w:rFonts w:hint="eastAsia" w:cs="Times New Roman"/>
                <w:color w:val="auto"/>
                <w:w w:val="100"/>
                <w:sz w:val="21"/>
                <w:highlight w:val="none"/>
                <w:lang w:val="en-US" w:eastAsia="zh-CN"/>
              </w:rPr>
              <w:t>3</w:t>
            </w:r>
            <w:r>
              <w:rPr>
                <w:rFonts w:hint="eastAsia" w:ascii="Times New Roman" w:hAnsi="Times New Roman" w:eastAsia="宋体" w:cs="Times New Roman"/>
                <w:color w:val="auto"/>
                <w:w w:val="100"/>
                <w:sz w:val="21"/>
                <w:highlight w:val="none"/>
              </w:rPr>
              <w:t>类标准</w:t>
            </w:r>
          </w:p>
        </w:tc>
      </w:tr>
    </w:tbl>
    <w:p>
      <w:pPr>
        <w:rPr>
          <w:rFonts w:ascii="Times New Roman" w:hAnsi="Times New Roman" w:eastAsia="宋体" w:cs="Times New Roman"/>
          <w:caps w:val="0"/>
          <w:smallCaps w:val="0"/>
          <w:color w:val="auto"/>
          <w:spacing w:val="0"/>
          <w:w w:val="99"/>
          <w:position w:val="0"/>
          <w:highlight w:val="none"/>
        </w:rPr>
        <w:sectPr>
          <w:pgSz w:w="16838" w:h="11911" w:orient="landscape"/>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7"/>
        <w:bidi w:val="0"/>
        <w:rPr>
          <w:color w:val="auto"/>
          <w:highlight w:val="none"/>
        </w:rPr>
      </w:pPr>
      <w:bookmarkStart w:id="1221" w:name="_Toc10440"/>
      <w:r>
        <w:rPr>
          <w:color w:val="auto"/>
          <w:highlight w:val="none"/>
        </w:rPr>
        <w:t>8.2.2污染源排放管理要求</w:t>
      </w:r>
      <w:bookmarkEnd w:id="1221"/>
    </w:p>
    <w:p>
      <w:pPr>
        <w:bidi w:val="0"/>
        <w:rPr>
          <w:color w:val="auto"/>
          <w:highlight w:val="none"/>
        </w:rPr>
      </w:pPr>
      <w:r>
        <w:rPr>
          <w:rFonts w:hint="eastAsia"/>
          <w:color w:val="auto"/>
          <w:highlight w:val="none"/>
          <w:lang w:eastAsia="zh-CN"/>
        </w:rPr>
        <w:t>（</w:t>
      </w:r>
      <w:r>
        <w:rPr>
          <w:color w:val="auto"/>
          <w:highlight w:val="none"/>
        </w:rPr>
        <w:t>1）根据国家环保政策、标准及环境监测要求，制定该项目营运期环境管理规章制度、各种污染物排放指标；</w:t>
      </w:r>
    </w:p>
    <w:p>
      <w:pPr>
        <w:bidi w:val="0"/>
        <w:rPr>
          <w:color w:val="auto"/>
          <w:highlight w:val="none"/>
        </w:rPr>
      </w:pPr>
      <w:r>
        <w:rPr>
          <w:rFonts w:hint="eastAsia"/>
          <w:color w:val="auto"/>
          <w:highlight w:val="none"/>
          <w:lang w:eastAsia="zh-CN"/>
        </w:rPr>
        <w:t>（</w:t>
      </w:r>
      <w:r>
        <w:rPr>
          <w:color w:val="auto"/>
          <w:highlight w:val="none"/>
        </w:rPr>
        <w:t>2）对项目院内的公建设施给水管网进行定期维护和检修，确保公建设施的正常运行及管网畅通；</w:t>
      </w:r>
    </w:p>
    <w:p>
      <w:pPr>
        <w:bidi w:val="0"/>
        <w:rPr>
          <w:color w:val="auto"/>
          <w:highlight w:val="none"/>
        </w:rPr>
      </w:pPr>
      <w:r>
        <w:rPr>
          <w:rFonts w:hint="eastAsia"/>
          <w:color w:val="auto"/>
          <w:highlight w:val="none"/>
          <w:lang w:eastAsia="zh-CN"/>
        </w:rPr>
        <w:t>（</w:t>
      </w:r>
      <w:r>
        <w:rPr>
          <w:color w:val="auto"/>
          <w:highlight w:val="none"/>
        </w:rPr>
        <w:t>3）对废气治理措施进行检修和维护，确保处理系统的正常运行；</w:t>
      </w:r>
    </w:p>
    <w:p>
      <w:pPr>
        <w:bidi w:val="0"/>
        <w:rPr>
          <w:color w:val="auto"/>
          <w:highlight w:val="none"/>
        </w:rPr>
      </w:pPr>
      <w:r>
        <w:rPr>
          <w:rFonts w:hint="eastAsia"/>
          <w:color w:val="auto"/>
          <w:highlight w:val="none"/>
          <w:lang w:eastAsia="zh-CN"/>
        </w:rPr>
        <w:t>（</w:t>
      </w:r>
      <w:r>
        <w:rPr>
          <w:color w:val="auto"/>
          <w:highlight w:val="none"/>
        </w:rPr>
        <w:t>4）生活垃圾和生产废物的收集管理应由专人负责，分类收集，外运时，应采用专用车，运到指定地点处置。</w:t>
      </w:r>
    </w:p>
    <w:p>
      <w:pPr>
        <w:pStyle w:val="7"/>
        <w:bidi w:val="0"/>
        <w:rPr>
          <w:color w:val="auto"/>
          <w:highlight w:val="none"/>
        </w:rPr>
      </w:pPr>
      <w:bookmarkStart w:id="1222" w:name="_Toc21477"/>
      <w:r>
        <w:rPr>
          <w:color w:val="auto"/>
          <w:highlight w:val="none"/>
        </w:rPr>
        <w:t>8.2.3总量控制</w:t>
      </w:r>
      <w:bookmarkEnd w:id="1222"/>
    </w:p>
    <w:p>
      <w:pPr>
        <w:bidi w:val="0"/>
        <w:rPr>
          <w:color w:val="auto"/>
          <w:highlight w:val="none"/>
        </w:rPr>
      </w:pPr>
      <w:r>
        <w:rPr>
          <w:color w:val="auto"/>
          <w:highlight w:val="none"/>
        </w:rPr>
        <w:t>根据国家环境保护总局对实施污染物排放总量控制的要求，综合该项目排污特点、所在区域环境质量现状及环境主管部门的要求，该项目确定实行总量控制的污染为颗粒物、SO</w:t>
      </w:r>
      <w:r>
        <w:rPr>
          <w:color w:val="auto"/>
          <w:highlight w:val="none"/>
          <w:vertAlign w:val="subscript"/>
        </w:rPr>
        <w:t>2</w:t>
      </w:r>
      <w:r>
        <w:rPr>
          <w:color w:val="auto"/>
          <w:highlight w:val="none"/>
        </w:rPr>
        <w:t>、NO</w:t>
      </w:r>
      <w:r>
        <w:rPr>
          <w:color w:val="auto"/>
          <w:highlight w:val="none"/>
          <w:vertAlign w:val="subscript"/>
        </w:rPr>
        <w:t>X</w:t>
      </w:r>
      <w:r>
        <w:rPr>
          <w:color w:val="auto"/>
          <w:highlight w:val="none"/>
        </w:rPr>
        <w:t>。本项目投产后污染物排放统计见表</w:t>
      </w:r>
      <w:r>
        <w:rPr>
          <w:rFonts w:hint="eastAsia"/>
          <w:color w:val="auto"/>
          <w:highlight w:val="none"/>
          <w:lang w:val="en-US" w:eastAsia="zh-CN"/>
        </w:rPr>
        <w:t>8.2.3-1</w:t>
      </w:r>
      <w:r>
        <w:rPr>
          <w:color w:val="auto"/>
          <w:highlight w:val="none"/>
        </w:rPr>
        <w:t>。</w:t>
      </w:r>
    </w:p>
    <w:p>
      <w:pPr>
        <w:bidi w:val="0"/>
        <w:rPr>
          <w:color w:val="auto"/>
          <w:highlight w:val="none"/>
        </w:rPr>
      </w:pPr>
      <w:r>
        <w:rPr>
          <w:color w:val="auto"/>
          <w:highlight w:val="none"/>
        </w:rPr>
        <w:t>表8</w:t>
      </w:r>
      <w:r>
        <w:rPr>
          <w:rFonts w:hint="eastAsia"/>
          <w:color w:val="auto"/>
          <w:highlight w:val="none"/>
          <w:lang w:val="en-US" w:eastAsia="zh-CN"/>
        </w:rPr>
        <w:t>.2.3-1</w:t>
      </w:r>
      <w:r>
        <w:rPr>
          <w:color w:val="auto"/>
          <w:highlight w:val="none"/>
        </w:rPr>
        <w:t xml:space="preserve"> </w:t>
      </w:r>
      <w:r>
        <w:rPr>
          <w:rFonts w:hint="eastAsia"/>
          <w:color w:val="auto"/>
          <w:highlight w:val="none"/>
          <w:lang w:val="en-US" w:eastAsia="zh-CN"/>
        </w:rPr>
        <w:t xml:space="preserve">          </w:t>
      </w:r>
      <w:r>
        <w:rPr>
          <w:color w:val="auto"/>
          <w:highlight w:val="none"/>
        </w:rPr>
        <w:t xml:space="preserve"> 工程投产后污染物排放统计</w:t>
      </w:r>
      <w:r>
        <w:rPr>
          <w:rFonts w:hint="eastAsia"/>
          <w:color w:val="auto"/>
          <w:highlight w:val="none"/>
          <w:lang w:eastAsia="zh-CN"/>
        </w:rPr>
        <w:t>（</w:t>
      </w:r>
      <w:r>
        <w:rPr>
          <w:color w:val="auto"/>
          <w:highlight w:val="none"/>
        </w:rPr>
        <w:t>t/a）</w:t>
      </w:r>
    </w:p>
    <w:tbl>
      <w:tblPr>
        <w:tblStyle w:val="23"/>
        <w:tblW w:w="89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41"/>
        <w:gridCol w:w="45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41" w:type="dxa"/>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污染物</w:t>
            </w:r>
          </w:p>
        </w:tc>
        <w:tc>
          <w:tcPr>
            <w:tcW w:w="4541" w:type="dxa"/>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41" w:type="dxa"/>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颗粒物</w:t>
            </w:r>
          </w:p>
        </w:tc>
        <w:tc>
          <w:tcPr>
            <w:tcW w:w="454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0.00625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41" w:type="dxa"/>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二氧化硫</w:t>
            </w:r>
          </w:p>
        </w:tc>
        <w:tc>
          <w:tcPr>
            <w:tcW w:w="454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41" w:type="dxa"/>
            <w:vAlign w:val="center"/>
          </w:tcPr>
          <w:p>
            <w:pPr>
              <w:pStyle w:val="31"/>
              <w:keepNext w:val="0"/>
              <w:keepLines w:val="0"/>
              <w:pageBreakBefore w:val="0"/>
              <w:widowControl w:val="0"/>
              <w:kinsoku/>
              <w:wordWrap/>
              <w:overflowPunct/>
              <w:topLinePunct w:val="0"/>
              <w:autoSpaceDE/>
              <w:autoSpaceDN/>
              <w:bidi w:val="0"/>
              <w:adjustRightInd/>
              <w:snapToGrid/>
              <w:textAlignment w:val="auto"/>
              <w:rPr>
                <w:rFonts w:ascii="Times New Roman" w:hAnsi="Times New Roman" w:eastAsia="宋体" w:cs="Times New Roman"/>
                <w:color w:val="auto"/>
                <w:w w:val="100"/>
                <w:highlight w:val="none"/>
              </w:rPr>
            </w:pPr>
            <w:r>
              <w:rPr>
                <w:rFonts w:ascii="Times New Roman" w:hAnsi="Times New Roman" w:eastAsia="宋体" w:cs="Times New Roman"/>
                <w:color w:val="auto"/>
                <w:w w:val="100"/>
                <w:highlight w:val="none"/>
              </w:rPr>
              <w:t>氮氧化物</w:t>
            </w:r>
          </w:p>
        </w:tc>
        <w:tc>
          <w:tcPr>
            <w:tcW w:w="454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4.25</w:t>
            </w:r>
          </w:p>
        </w:tc>
      </w:tr>
    </w:tbl>
    <w:p>
      <w:pPr>
        <w:pStyle w:val="7"/>
        <w:bidi w:val="0"/>
        <w:rPr>
          <w:color w:val="auto"/>
          <w:highlight w:val="none"/>
        </w:rPr>
      </w:pPr>
      <w:bookmarkStart w:id="1223" w:name="_Toc22364"/>
      <w:r>
        <w:rPr>
          <w:color w:val="auto"/>
          <w:highlight w:val="none"/>
        </w:rPr>
        <w:t>8.2.4信息公开</w:t>
      </w:r>
      <w:bookmarkEnd w:id="1223"/>
    </w:p>
    <w:p>
      <w:pPr>
        <w:bidi w:val="0"/>
        <w:rPr>
          <w:color w:val="auto"/>
          <w:highlight w:val="none"/>
        </w:rPr>
      </w:pPr>
      <w:r>
        <w:rPr>
          <w:color w:val="auto"/>
          <w:highlight w:val="none"/>
        </w:rPr>
        <w:t>企业应积极主动对污染物定期监测信息进行公开，采用张贴公示</w:t>
      </w:r>
      <w:r>
        <w:rPr>
          <w:rFonts w:hint="eastAsia"/>
          <w:color w:val="auto"/>
          <w:highlight w:val="none"/>
          <w:lang w:eastAsia="zh-CN"/>
        </w:rPr>
        <w:t>板</w:t>
      </w:r>
      <w:r>
        <w:rPr>
          <w:color w:val="auto"/>
          <w:highlight w:val="none"/>
        </w:rPr>
        <w:t>等形式对污染物排放情况、污染防治措施运行情况进行公开，保证公众知情权。</w:t>
      </w:r>
    </w:p>
    <w:p>
      <w:pPr>
        <w:pStyle w:val="6"/>
        <w:bidi w:val="0"/>
        <w:rPr>
          <w:color w:val="auto"/>
          <w:highlight w:val="none"/>
        </w:rPr>
      </w:pPr>
      <w:bookmarkStart w:id="1224" w:name="_Toc4219"/>
      <w:bookmarkStart w:id="1225" w:name="_Toc27682"/>
      <w:bookmarkStart w:id="1226" w:name="_Toc501094419"/>
      <w:bookmarkStart w:id="1227" w:name="_Toc10702"/>
      <w:r>
        <w:rPr>
          <w:color w:val="auto"/>
          <w:highlight w:val="none"/>
        </w:rPr>
        <w:t>8.3环境监测及排污口规范化管理</w:t>
      </w:r>
      <w:bookmarkEnd w:id="1224"/>
      <w:bookmarkEnd w:id="1225"/>
      <w:bookmarkEnd w:id="1226"/>
      <w:bookmarkEnd w:id="1227"/>
    </w:p>
    <w:p>
      <w:pPr>
        <w:pStyle w:val="7"/>
        <w:bidi w:val="0"/>
        <w:rPr>
          <w:color w:val="auto"/>
          <w:highlight w:val="none"/>
        </w:rPr>
      </w:pPr>
      <w:bookmarkStart w:id="1228" w:name="_Toc13494"/>
      <w:r>
        <w:rPr>
          <w:color w:val="auto"/>
          <w:highlight w:val="none"/>
        </w:rPr>
        <w:t>8.3.1环境监测机构</w:t>
      </w:r>
      <w:bookmarkEnd w:id="1228"/>
    </w:p>
    <w:p>
      <w:pPr>
        <w:bidi w:val="0"/>
        <w:rPr>
          <w:color w:val="auto"/>
          <w:highlight w:val="none"/>
        </w:rPr>
      </w:pPr>
      <w:r>
        <w:rPr>
          <w:color w:val="auto"/>
          <w:highlight w:val="none"/>
        </w:rPr>
        <w:t>为了及时准确的了解项目的污染物排放情况和污染物治理设施的运行状况，企业应委托有资质的监测机构进行常规监测。</w:t>
      </w:r>
    </w:p>
    <w:p>
      <w:pPr>
        <w:pStyle w:val="7"/>
        <w:bidi w:val="0"/>
        <w:rPr>
          <w:color w:val="auto"/>
          <w:highlight w:val="none"/>
        </w:rPr>
      </w:pPr>
      <w:bookmarkStart w:id="1229" w:name="_Toc10827"/>
      <w:r>
        <w:rPr>
          <w:color w:val="auto"/>
          <w:highlight w:val="none"/>
        </w:rPr>
        <w:t>8.3.2环境监测职责</w:t>
      </w:r>
      <w:bookmarkEnd w:id="1229"/>
    </w:p>
    <w:p>
      <w:pPr>
        <w:bidi w:val="0"/>
        <w:rPr>
          <w:color w:val="auto"/>
          <w:highlight w:val="none"/>
        </w:rPr>
      </w:pPr>
      <w:r>
        <w:rPr>
          <w:rFonts w:hint="eastAsia"/>
          <w:color w:val="auto"/>
          <w:highlight w:val="none"/>
          <w:lang w:eastAsia="zh-CN"/>
        </w:rPr>
        <w:t>（</w:t>
      </w:r>
      <w:r>
        <w:rPr>
          <w:color w:val="auto"/>
          <w:highlight w:val="none"/>
        </w:rPr>
        <w:t>1）根据各项有关环境质量标准、污染物排放标准，制定本项目的环境监测计划工作方案，建立与完善各项检测规章制度。</w:t>
      </w:r>
    </w:p>
    <w:p>
      <w:pPr>
        <w:bidi w:val="0"/>
        <w:rPr>
          <w:color w:val="auto"/>
          <w:highlight w:val="none"/>
        </w:rPr>
      </w:pPr>
      <w:r>
        <w:rPr>
          <w:rFonts w:hint="eastAsia"/>
          <w:color w:val="auto"/>
          <w:highlight w:val="none"/>
          <w:lang w:eastAsia="zh-CN"/>
        </w:rPr>
        <w:t>（</w:t>
      </w:r>
      <w:r>
        <w:rPr>
          <w:color w:val="auto"/>
          <w:highlight w:val="none"/>
        </w:rPr>
        <w:t>2）按时完成监测计划和各项检测任务。</w:t>
      </w:r>
    </w:p>
    <w:p>
      <w:pPr>
        <w:bidi w:val="0"/>
        <w:rPr>
          <w:color w:val="auto"/>
          <w:highlight w:val="none"/>
        </w:rPr>
      </w:pPr>
      <w:r>
        <w:rPr>
          <w:rFonts w:hint="eastAsia"/>
          <w:color w:val="auto"/>
          <w:highlight w:val="none"/>
          <w:lang w:eastAsia="zh-CN"/>
        </w:rPr>
        <w:t>（</w:t>
      </w:r>
      <w:r>
        <w:rPr>
          <w:color w:val="auto"/>
          <w:highlight w:val="none"/>
        </w:rPr>
        <w:t>3）做好各项环保设备运行的例行检测工作，发现问题及时报告，以便迅速解决，保证环保设备正常运行，确保达标排放。</w:t>
      </w:r>
    </w:p>
    <w:p>
      <w:pPr>
        <w:bidi w:val="0"/>
        <w:rPr>
          <w:rFonts w:hint="eastAsia" w:eastAsia="宋体"/>
          <w:color w:val="auto"/>
          <w:highlight w:val="none"/>
          <w:lang w:val="en-US" w:eastAsia="zh-CN"/>
        </w:rPr>
      </w:pPr>
      <w:r>
        <w:rPr>
          <w:rFonts w:hint="eastAsia"/>
          <w:color w:val="auto"/>
          <w:highlight w:val="none"/>
          <w:lang w:eastAsia="zh-CN"/>
        </w:rPr>
        <w:t>（</w:t>
      </w:r>
      <w:r>
        <w:rPr>
          <w:color w:val="auto"/>
          <w:highlight w:val="none"/>
        </w:rPr>
        <w:t>4）环保监测人员要培训合格后才能上岗，并定期参加有关技术培训，不断提高业务水平，并参加主管部门的组织的技术</w:t>
      </w:r>
      <w:r>
        <w:rPr>
          <w:rFonts w:hint="eastAsia"/>
          <w:color w:val="auto"/>
          <w:highlight w:val="none"/>
          <w:lang w:val="en-US" w:eastAsia="zh-CN"/>
        </w:rPr>
        <w:t>考核</w:t>
      </w:r>
      <w:r>
        <w:rPr>
          <w:rFonts w:hint="eastAsia"/>
          <w:color w:val="auto"/>
          <w:highlight w:val="none"/>
          <w:lang w:eastAsia="zh-CN"/>
        </w:rPr>
        <w:t>。</w:t>
      </w:r>
    </w:p>
    <w:bookmarkEnd w:id="1204"/>
    <w:bookmarkEnd w:id="1205"/>
    <w:bookmarkEnd w:id="1206"/>
    <w:bookmarkEnd w:id="1207"/>
    <w:bookmarkEnd w:id="1208"/>
    <w:bookmarkEnd w:id="1209"/>
    <w:bookmarkEnd w:id="1210"/>
    <w:p>
      <w:pPr>
        <w:pStyle w:val="7"/>
        <w:bidi w:val="0"/>
        <w:rPr>
          <w:rFonts w:ascii="Times New Roman" w:hAnsi="Times New Roman" w:eastAsia="宋体" w:cs="Times New Roman"/>
          <w:color w:val="auto"/>
          <w:highlight w:val="none"/>
        </w:rPr>
      </w:pPr>
      <w:bookmarkStart w:id="1230" w:name="_Toc8300"/>
      <w:r>
        <w:rPr>
          <w:rFonts w:ascii="Times New Roman" w:hAnsi="Times New Roman" w:eastAsia="宋体" w:cs="Times New Roman"/>
          <w:color w:val="auto"/>
          <w:highlight w:val="none"/>
        </w:rPr>
        <w:t>8.3.3环境监测计划</w:t>
      </w:r>
      <w:bookmarkEnd w:id="1230"/>
    </w:p>
    <w:p>
      <w:pPr>
        <w:bidi w:val="0"/>
        <w:rPr>
          <w:color w:val="auto"/>
          <w:highlight w:val="none"/>
        </w:rPr>
      </w:pPr>
      <w:r>
        <w:rPr>
          <w:color w:val="auto"/>
          <w:highlight w:val="none"/>
        </w:rPr>
        <w:t>本项目根据《排污单位自行监测技术指南 总则》</w:t>
      </w:r>
      <w:r>
        <w:rPr>
          <w:rFonts w:hint="eastAsia"/>
          <w:color w:val="auto"/>
          <w:highlight w:val="none"/>
          <w:lang w:eastAsia="zh-CN"/>
        </w:rPr>
        <w:t>（</w:t>
      </w:r>
      <w:r>
        <w:rPr>
          <w:color w:val="auto"/>
          <w:highlight w:val="none"/>
        </w:rPr>
        <w:t xml:space="preserve">GB819-2017）、《排污单位自行监测技术指南 </w:t>
      </w:r>
      <w:r>
        <w:rPr>
          <w:rFonts w:hint="eastAsia"/>
          <w:color w:val="auto"/>
          <w:highlight w:val="none"/>
          <w:lang w:val="en-US" w:eastAsia="zh-CN"/>
        </w:rPr>
        <w:t xml:space="preserve"> </w:t>
      </w:r>
      <w:r>
        <w:rPr>
          <w:color w:val="auto"/>
          <w:highlight w:val="none"/>
        </w:rPr>
        <w:t>造纸工业》</w:t>
      </w:r>
      <w:r>
        <w:rPr>
          <w:rFonts w:hint="eastAsia"/>
          <w:color w:val="auto"/>
          <w:highlight w:val="none"/>
          <w:lang w:eastAsia="zh-CN"/>
        </w:rPr>
        <w:t>（</w:t>
      </w:r>
      <w:r>
        <w:rPr>
          <w:color w:val="auto"/>
          <w:highlight w:val="none"/>
        </w:rPr>
        <w:t xml:space="preserve">HJ821-2017）和《排污单位自行监测技术指南 </w:t>
      </w:r>
      <w:r>
        <w:rPr>
          <w:rFonts w:hint="eastAsia"/>
          <w:color w:val="auto"/>
          <w:highlight w:val="none"/>
          <w:lang w:val="en-US" w:eastAsia="zh-CN"/>
        </w:rPr>
        <w:t xml:space="preserve"> </w:t>
      </w:r>
      <w:r>
        <w:rPr>
          <w:color w:val="auto"/>
          <w:highlight w:val="none"/>
        </w:rPr>
        <w:t>火力发电及锅炉》</w:t>
      </w:r>
      <w:r>
        <w:rPr>
          <w:rFonts w:hint="eastAsia"/>
          <w:color w:val="auto"/>
          <w:highlight w:val="none"/>
          <w:lang w:eastAsia="zh-CN"/>
        </w:rPr>
        <w:t>（</w:t>
      </w:r>
      <w:r>
        <w:rPr>
          <w:color w:val="auto"/>
          <w:highlight w:val="none"/>
        </w:rPr>
        <w:t>HJ820-2017）等技术材料制定本监测计划。</w:t>
      </w:r>
    </w:p>
    <w:p>
      <w:pPr>
        <w:bidi w:val="0"/>
        <w:rPr>
          <w:rFonts w:ascii="Times New Roman" w:hAnsi="Times New Roman" w:eastAsia="宋体" w:cs="Times New Roman"/>
          <w:color w:val="auto"/>
          <w:highlight w:val="none"/>
        </w:rPr>
      </w:pPr>
      <w:bookmarkStart w:id="1231" w:name="_bookmark120"/>
      <w:bookmarkEnd w:id="1231"/>
      <w:r>
        <w:rPr>
          <w:rFonts w:ascii="Times New Roman" w:hAnsi="Times New Roman" w:eastAsia="宋体" w:cs="Times New Roman"/>
          <w:color w:val="auto"/>
          <w:highlight w:val="none"/>
        </w:rPr>
        <w:t>主要监测对象为运营期大气污染源、噪声污染源、废水污染源、环保设施实施与 运行情况、事故监测等，详见表</w:t>
      </w:r>
      <w:r>
        <w:rPr>
          <w:rFonts w:hint="eastAsia" w:ascii="Times New Roman" w:hAnsi="Times New Roman" w:eastAsia="宋体" w:cs="Times New Roman"/>
          <w:color w:val="auto"/>
          <w:highlight w:val="none"/>
          <w:lang w:val="en-US" w:eastAsia="zh-CN"/>
        </w:rPr>
        <w:t>8.3.4-1</w:t>
      </w:r>
      <w:r>
        <w:rPr>
          <w:rFonts w:ascii="Times New Roman" w:hAnsi="Times New Roman" w:eastAsia="宋体" w:cs="Times New Roman"/>
          <w:color w:val="auto"/>
          <w:highlight w:val="none"/>
        </w:rPr>
        <w:t>。</w:t>
      </w:r>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表8.3</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1</w:t>
      </w:r>
      <w:r>
        <w:rPr>
          <w:rFonts w:ascii="Times New Roman" w:hAnsi="Times New Roman" w:eastAsia="宋体" w:cs="Times New Roman"/>
          <w:color w:val="auto"/>
          <w:highlight w:val="none"/>
        </w:rPr>
        <w:t xml:space="preserve">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rPr>
        <w:t>项目环境监测计划</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820"/>
        <w:gridCol w:w="1174"/>
        <w:gridCol w:w="3462"/>
        <w:gridCol w:w="1492"/>
        <w:gridCol w:w="212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452" w:type="pct"/>
            <w:tcBorders>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bookmarkStart w:id="1232" w:name="_Toc14927"/>
            <w:bookmarkStart w:id="1233" w:name="_Toc18135"/>
            <w:bookmarkStart w:id="1234" w:name="_Toc10318"/>
            <w:bookmarkStart w:id="1235" w:name="_Toc24826"/>
            <w:bookmarkStart w:id="1236" w:name="_Toc17224"/>
            <w:bookmarkStart w:id="1237" w:name="_Toc158875999"/>
            <w:bookmarkStart w:id="1238" w:name="_Toc30312"/>
            <w:bookmarkStart w:id="1239" w:name="_Toc26468"/>
            <w:r>
              <w:rPr>
                <w:rFonts w:ascii="Times New Roman" w:hAnsi="Times New Roman" w:eastAsia="宋体" w:cs="Times New Roman"/>
                <w:color w:val="auto"/>
                <w:w w:val="100"/>
                <w:sz w:val="21"/>
                <w:highlight w:val="none"/>
              </w:rPr>
              <w:t>项目</w:t>
            </w:r>
          </w:p>
        </w:tc>
        <w:tc>
          <w:tcPr>
            <w:tcW w:w="647" w:type="pct"/>
            <w:tcBorders>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监测位置</w:t>
            </w:r>
          </w:p>
        </w:tc>
        <w:tc>
          <w:tcPr>
            <w:tcW w:w="1907" w:type="pct"/>
            <w:tcBorders>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监测项目</w:t>
            </w:r>
          </w:p>
        </w:tc>
        <w:tc>
          <w:tcPr>
            <w:tcW w:w="822" w:type="pct"/>
            <w:tcBorders>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监测频次</w:t>
            </w:r>
          </w:p>
        </w:tc>
        <w:tc>
          <w:tcPr>
            <w:tcW w:w="1170" w:type="pct"/>
            <w:tcBorders>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执行标准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9" w:hRule="atLeast"/>
        </w:trPr>
        <w:tc>
          <w:tcPr>
            <w:tcW w:w="452" w:type="pct"/>
            <w:vMerge w:val="restart"/>
            <w:tcBorders>
              <w:top w:val="single" w:color="000000" w:sz="6" w:space="0"/>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废气</w:t>
            </w:r>
          </w:p>
        </w:tc>
        <w:tc>
          <w:tcPr>
            <w:tcW w:w="647" w:type="pct"/>
            <w:vMerge w:val="restar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hint="eastAsia" w:ascii="Times New Roman" w:hAnsi="Times New Roman" w:eastAsia="宋体" w:cs="Times New Roman"/>
                <w:color w:val="auto"/>
                <w:w w:val="100"/>
                <w:sz w:val="21"/>
                <w:highlight w:val="none"/>
                <w:lang w:val="en-US" w:eastAsia="zh-CN"/>
              </w:rPr>
            </w:pPr>
            <w:r>
              <w:rPr>
                <w:rFonts w:ascii="Times New Roman" w:hAnsi="Times New Roman" w:eastAsia="宋体" w:cs="Times New Roman"/>
                <w:color w:val="auto"/>
                <w:w w:val="100"/>
                <w:sz w:val="21"/>
                <w:highlight w:val="none"/>
              </w:rPr>
              <w:t>锅炉</w:t>
            </w:r>
            <w:r>
              <w:rPr>
                <w:rFonts w:hint="eastAsia" w:ascii="Times New Roman" w:hAnsi="Times New Roman" w:eastAsia="宋体" w:cs="Times New Roman"/>
                <w:color w:val="auto"/>
                <w:w w:val="100"/>
                <w:sz w:val="21"/>
                <w:highlight w:val="none"/>
                <w:lang w:val="en-US" w:eastAsia="zh-CN"/>
              </w:rPr>
              <w:t>排气筒</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（有组织）</w:t>
            </w: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SO2、颗粒物、烟气黑度</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次/年</w:t>
            </w:r>
          </w:p>
        </w:tc>
        <w:tc>
          <w:tcPr>
            <w:tcW w:w="1170" w:type="pct"/>
            <w:vMerge w:val="restart"/>
            <w:tcBorders>
              <w:top w:val="single" w:color="000000" w:sz="6" w:space="0"/>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《锅炉大气污染物排放标准》</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(GB13271)中表 2 的</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燃气锅炉排放标准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77" w:hRule="atLeast"/>
        </w:trPr>
        <w:tc>
          <w:tcPr>
            <w:tcW w:w="452" w:type="pct"/>
            <w:vMerge w:val="continue"/>
            <w:tcBorders>
              <w:top w:val="nil"/>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p>
        </w:tc>
        <w:tc>
          <w:tcPr>
            <w:tcW w:w="647" w:type="pct"/>
            <w:vMerge w:val="continue"/>
            <w:tcBorders>
              <w:top w:val="nil"/>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NOx</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次/月</w:t>
            </w:r>
          </w:p>
        </w:tc>
        <w:tc>
          <w:tcPr>
            <w:tcW w:w="1170" w:type="pct"/>
            <w:vMerge w:val="continue"/>
            <w:tcBorders>
              <w:top w:val="nil"/>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81" w:hRule="atLeast"/>
        </w:trPr>
        <w:tc>
          <w:tcPr>
            <w:tcW w:w="452" w:type="pct"/>
            <w:vMerge w:val="continue"/>
            <w:tcBorders>
              <w:top w:val="nil"/>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p>
        </w:tc>
        <w:tc>
          <w:tcPr>
            <w:tcW w:w="64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污水处理站</w:t>
            </w:r>
            <w:r>
              <w:rPr>
                <w:rFonts w:hint="eastAsia" w:ascii="Times New Roman" w:hAnsi="Times New Roman" w:eastAsia="宋体" w:cs="Times New Roman"/>
                <w:color w:val="auto"/>
                <w:w w:val="100"/>
                <w:sz w:val="21"/>
                <w:highlight w:val="none"/>
                <w:lang w:val="en-US" w:eastAsia="zh-CN"/>
              </w:rPr>
              <w:t>排气筒</w:t>
            </w:r>
            <w:r>
              <w:rPr>
                <w:rFonts w:ascii="Times New Roman" w:hAnsi="Times New Roman" w:eastAsia="宋体" w:cs="Times New Roman"/>
                <w:color w:val="auto"/>
                <w:w w:val="100"/>
                <w:sz w:val="21"/>
                <w:highlight w:val="none"/>
              </w:rPr>
              <w:t>（有组织）</w:t>
            </w: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硫化氢、氨、臭气浓度</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次/年</w:t>
            </w:r>
          </w:p>
        </w:tc>
        <w:tc>
          <w:tcPr>
            <w:tcW w:w="1170" w:type="pct"/>
            <w:tcBorders>
              <w:top w:val="single" w:color="000000" w:sz="6" w:space="0"/>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《恶臭污染物排放标准》(GB14554-93)</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表 2 中 15m 高排气</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筒排放标准值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78" w:hRule="atLeast"/>
        </w:trPr>
        <w:tc>
          <w:tcPr>
            <w:tcW w:w="452" w:type="pct"/>
            <w:vMerge w:val="continue"/>
            <w:tcBorders>
              <w:top w:val="nil"/>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p>
        </w:tc>
        <w:tc>
          <w:tcPr>
            <w:tcW w:w="64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厂界（无组织）</w:t>
            </w: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臭气浓度、硫化氢、氨</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次/年</w:t>
            </w:r>
          </w:p>
        </w:tc>
        <w:tc>
          <w:tcPr>
            <w:tcW w:w="1170" w:type="pct"/>
            <w:tcBorders>
              <w:top w:val="single" w:color="000000" w:sz="6" w:space="0"/>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氨、硫化氢执行《恶臭污染物排放标准》 (GB14554-93)表 1</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二级新扩改建标准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81" w:hRule="atLeast"/>
        </w:trPr>
        <w:tc>
          <w:tcPr>
            <w:tcW w:w="452" w:type="pct"/>
            <w:tcBorders>
              <w:top w:val="single" w:color="000000" w:sz="6" w:space="0"/>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噪声</w:t>
            </w:r>
          </w:p>
        </w:tc>
        <w:tc>
          <w:tcPr>
            <w:tcW w:w="64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厂界</w:t>
            </w: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连续等效 A 声级</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次/季度</w:t>
            </w:r>
          </w:p>
        </w:tc>
        <w:tc>
          <w:tcPr>
            <w:tcW w:w="1170" w:type="pct"/>
            <w:tcBorders>
              <w:top w:val="single" w:color="000000" w:sz="6" w:space="0"/>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《工业企业厂界环境噪声排放标准》</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（GB12348-2008）2</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类标准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59" w:hRule="atLeast"/>
        </w:trPr>
        <w:tc>
          <w:tcPr>
            <w:tcW w:w="452" w:type="pct"/>
            <w:tcBorders>
              <w:top w:val="single" w:color="000000" w:sz="6" w:space="0"/>
              <w:left w:val="nil"/>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地下水环境</w:t>
            </w:r>
          </w:p>
        </w:tc>
        <w:tc>
          <w:tcPr>
            <w:tcW w:w="64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跟踪监测井</w:t>
            </w:r>
          </w:p>
        </w:tc>
        <w:tc>
          <w:tcPr>
            <w:tcW w:w="1907"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pH、色度、耗氧量、嗅和味、溶解性总固体、氨氮、硝酸盐、亚硝</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酸盐、硫酸盐、氯化物、总磷</w:t>
            </w:r>
          </w:p>
        </w:tc>
        <w:tc>
          <w:tcPr>
            <w:tcW w:w="822" w:type="pct"/>
            <w:tcBorders>
              <w:top w:val="single" w:color="000000" w:sz="6" w:space="0"/>
              <w:left w:val="single" w:color="000000" w:sz="6" w:space="0"/>
              <w:bottom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 次/年</w:t>
            </w:r>
          </w:p>
        </w:tc>
        <w:tc>
          <w:tcPr>
            <w:tcW w:w="1170" w:type="pct"/>
            <w:tcBorders>
              <w:top w:val="single" w:color="000000" w:sz="6" w:space="0"/>
              <w:left w:val="single" w:color="000000" w:sz="6" w:space="0"/>
              <w:bottom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参照《地下水质量标准》（GB/T</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14848-2017）III 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922" w:hRule="atLeast"/>
        </w:trPr>
        <w:tc>
          <w:tcPr>
            <w:tcW w:w="452" w:type="pct"/>
            <w:tcBorders>
              <w:top w:val="single" w:color="000000" w:sz="6" w:space="0"/>
              <w:left w:val="nil"/>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土壤</w:t>
            </w:r>
          </w:p>
        </w:tc>
        <w:tc>
          <w:tcPr>
            <w:tcW w:w="647" w:type="pct"/>
            <w:tcBorders>
              <w:top w:val="single" w:color="000000" w:sz="6" w:space="0"/>
              <w:left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厂区内</w:t>
            </w:r>
          </w:p>
        </w:tc>
        <w:tc>
          <w:tcPr>
            <w:tcW w:w="1907" w:type="pct"/>
            <w:tcBorders>
              <w:top w:val="single" w:color="000000" w:sz="6" w:space="0"/>
              <w:left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pH、砷、镉、铬、铜、铅、汞、镍</w:t>
            </w:r>
          </w:p>
        </w:tc>
        <w:tc>
          <w:tcPr>
            <w:tcW w:w="822" w:type="pct"/>
            <w:tcBorders>
              <w:top w:val="single" w:color="000000" w:sz="6" w:space="0"/>
              <w:left w:val="single" w:color="000000" w:sz="6" w:space="0"/>
              <w:right w:val="single" w:color="000000" w:sz="6" w:space="0"/>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必要时开展</w:t>
            </w:r>
          </w:p>
        </w:tc>
        <w:tc>
          <w:tcPr>
            <w:tcW w:w="1170" w:type="pct"/>
            <w:tcBorders>
              <w:top w:val="single" w:color="000000" w:sz="6" w:space="0"/>
              <w:left w:val="single" w:color="000000" w:sz="6" w:space="0"/>
              <w:right w:val="nil"/>
            </w:tcBorders>
            <w:vAlign w:val="center"/>
          </w:tcPr>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参照《土壤环境质量建设用地土壤污染风险管控标准（试行）》</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（GB36600-2018）第</w:t>
            </w:r>
          </w:p>
          <w:p>
            <w:pPr>
              <w:pStyle w:val="31"/>
              <w:bidi w:val="0"/>
              <w:jc w:val="center"/>
              <w:rPr>
                <w:rFonts w:ascii="Times New Roman" w:hAnsi="Times New Roman" w:eastAsia="宋体" w:cs="Times New Roman"/>
                <w:color w:val="auto"/>
                <w:w w:val="100"/>
                <w:sz w:val="21"/>
                <w:highlight w:val="none"/>
              </w:rPr>
            </w:pPr>
            <w:r>
              <w:rPr>
                <w:rFonts w:ascii="Times New Roman" w:hAnsi="Times New Roman" w:eastAsia="宋体" w:cs="Times New Roman"/>
                <w:color w:val="auto"/>
                <w:w w:val="100"/>
                <w:sz w:val="21"/>
                <w:highlight w:val="none"/>
              </w:rPr>
              <w:t>二类用地筛选值</w:t>
            </w:r>
          </w:p>
        </w:tc>
      </w:tr>
    </w:tbl>
    <w:p>
      <w:pPr>
        <w:bidi w:val="0"/>
        <w:rPr>
          <w:color w:val="auto"/>
          <w:highlight w:val="none"/>
        </w:rPr>
      </w:pPr>
      <w:r>
        <w:rPr>
          <w:color w:val="auto"/>
          <w:highlight w:val="none"/>
        </w:rPr>
        <w:t>每次监测都应有</w:t>
      </w:r>
      <w:r>
        <w:rPr>
          <w:rFonts w:hint="eastAsia"/>
          <w:color w:val="auto"/>
          <w:highlight w:val="none"/>
          <w:lang w:eastAsia="zh-CN"/>
        </w:rPr>
        <w:t>完整地记录</w:t>
      </w:r>
      <w:r>
        <w:rPr>
          <w:color w:val="auto"/>
          <w:highlight w:val="none"/>
        </w:rPr>
        <w:t>，监测数据应及时整理、统计，按时向管理部门、调度部门报告，做好监测资料的归档工作。</w:t>
      </w:r>
    </w:p>
    <w:p>
      <w:pPr>
        <w:pStyle w:val="7"/>
        <w:bidi w:val="0"/>
        <w:rPr>
          <w:rFonts w:ascii="Times New Roman" w:hAnsi="Times New Roman" w:eastAsia="宋体" w:cs="Times New Roman"/>
          <w:color w:val="auto"/>
          <w:highlight w:val="none"/>
        </w:rPr>
      </w:pPr>
      <w:bookmarkStart w:id="1240" w:name="_Toc7376"/>
      <w:r>
        <w:rPr>
          <w:rFonts w:ascii="Times New Roman" w:hAnsi="Times New Roman" w:eastAsia="宋体" w:cs="Times New Roman"/>
          <w:color w:val="auto"/>
          <w:highlight w:val="none"/>
        </w:rPr>
        <w:t>8.3.</w:t>
      </w:r>
      <w:r>
        <w:rPr>
          <w:rFonts w:hint="eastAsia" w:ascii="Times New Roman" w:hAnsi="Times New Roman" w:cs="Times New Roman"/>
          <w:color w:val="auto"/>
          <w:highlight w:val="none"/>
          <w:lang w:val="en-US" w:eastAsia="zh-CN"/>
        </w:rPr>
        <w:t>4</w:t>
      </w:r>
      <w:r>
        <w:rPr>
          <w:rFonts w:ascii="Times New Roman" w:hAnsi="Times New Roman" w:eastAsia="宋体" w:cs="Times New Roman"/>
          <w:color w:val="auto"/>
          <w:highlight w:val="none"/>
        </w:rPr>
        <w:t>环境监测分析方法</w:t>
      </w:r>
      <w:bookmarkEnd w:id="1240"/>
    </w:p>
    <w:p>
      <w:pPr>
        <w:bidi w:val="0"/>
        <w:rPr>
          <w:color w:val="auto"/>
          <w:highlight w:val="none"/>
        </w:rPr>
      </w:pPr>
      <w:r>
        <w:rPr>
          <w:color w:val="auto"/>
          <w:highlight w:val="none"/>
        </w:rPr>
        <w:t>采用国家规定的相关标准进行。</w:t>
      </w:r>
    </w:p>
    <w:p>
      <w:pPr>
        <w:pStyle w:val="7"/>
        <w:bidi w:val="0"/>
        <w:rPr>
          <w:rFonts w:ascii="Times New Roman" w:hAnsi="Times New Roman" w:eastAsia="宋体" w:cs="Times New Roman"/>
          <w:color w:val="auto"/>
          <w:highlight w:val="none"/>
        </w:rPr>
      </w:pPr>
      <w:bookmarkStart w:id="1241" w:name="_Toc32538"/>
      <w:r>
        <w:rPr>
          <w:rFonts w:ascii="Times New Roman" w:hAnsi="Times New Roman" w:eastAsia="宋体" w:cs="Times New Roman"/>
          <w:color w:val="auto"/>
          <w:highlight w:val="none"/>
        </w:rPr>
        <w:t>8.3.</w:t>
      </w:r>
      <w:r>
        <w:rPr>
          <w:rFonts w:hint="eastAsia" w:ascii="Times New Roman" w:hAnsi="Times New Roman" w:cs="Times New Roman"/>
          <w:color w:val="auto"/>
          <w:highlight w:val="none"/>
          <w:lang w:val="en-US" w:eastAsia="zh-CN"/>
        </w:rPr>
        <w:t>5</w:t>
      </w:r>
      <w:r>
        <w:rPr>
          <w:rFonts w:ascii="Times New Roman" w:hAnsi="Times New Roman" w:eastAsia="宋体" w:cs="Times New Roman"/>
          <w:color w:val="auto"/>
          <w:highlight w:val="none"/>
        </w:rPr>
        <w:t>排污口规范化管理</w:t>
      </w:r>
      <w:bookmarkEnd w:id="1241"/>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8.3.</w:t>
      </w:r>
      <w:r>
        <w:rPr>
          <w:rFonts w:hint="eastAsia"/>
          <w:b/>
          <w:bCs/>
          <w:color w:val="auto"/>
          <w:highlight w:val="none"/>
          <w:lang w:val="en-US" w:eastAsia="zh-CN"/>
        </w:rPr>
        <w:t>5.1</w:t>
      </w:r>
      <w:r>
        <w:rPr>
          <w:b/>
          <w:bCs/>
          <w:color w:val="auto"/>
          <w:highlight w:val="none"/>
        </w:rPr>
        <w:t>排污口规范化管理</w:t>
      </w:r>
    </w:p>
    <w:p>
      <w:pPr>
        <w:bidi w:val="0"/>
        <w:rPr>
          <w:color w:val="auto"/>
          <w:highlight w:val="none"/>
        </w:rPr>
      </w:pPr>
      <w:r>
        <w:rPr>
          <w:color w:val="auto"/>
          <w:highlight w:val="none"/>
        </w:rPr>
        <w:t>排污口是企业污染物进入环境、污染环境的通道，强化排污口的管理是实施污染物总量控制的基础工作，也是区域环境管理逐步实现污染物排放科学化、定量化的重要手段。</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8.3</w:t>
      </w:r>
      <w:r>
        <w:rPr>
          <w:rFonts w:hint="eastAsia"/>
          <w:b/>
          <w:bCs/>
          <w:color w:val="auto"/>
          <w:highlight w:val="none"/>
          <w:lang w:val="en-US" w:eastAsia="zh-CN"/>
        </w:rPr>
        <w:t>.5.2</w:t>
      </w:r>
      <w:r>
        <w:rPr>
          <w:b/>
          <w:bCs/>
          <w:color w:val="auto"/>
          <w:highlight w:val="none"/>
        </w:rPr>
        <w:t>排污口规范化管理的基本原则</w:t>
      </w:r>
    </w:p>
    <w:p>
      <w:pPr>
        <w:bidi w:val="0"/>
        <w:rPr>
          <w:color w:val="auto"/>
          <w:highlight w:val="none"/>
        </w:rPr>
      </w:pPr>
      <w:r>
        <w:rPr>
          <w:color w:val="auto"/>
          <w:highlight w:val="none"/>
        </w:rPr>
        <w:t>1、向环境排放污染物的排污口必须规范化。</w:t>
      </w:r>
    </w:p>
    <w:p>
      <w:pPr>
        <w:bidi w:val="0"/>
        <w:rPr>
          <w:color w:val="auto"/>
          <w:highlight w:val="none"/>
        </w:rPr>
      </w:pPr>
      <w:r>
        <w:rPr>
          <w:color w:val="auto"/>
          <w:highlight w:val="none"/>
        </w:rPr>
        <w:t>2、根据本项目的特点，考虑列入总量控制指标的污染物中排放的污水的排污口为管理重点。</w:t>
      </w:r>
    </w:p>
    <w:p>
      <w:pPr>
        <w:bidi w:val="0"/>
        <w:rPr>
          <w:color w:val="auto"/>
          <w:highlight w:val="none"/>
        </w:rPr>
      </w:pPr>
      <w:r>
        <w:rPr>
          <w:color w:val="auto"/>
          <w:highlight w:val="none"/>
        </w:rPr>
        <w:t>3、排污口应便于采样与计量监测，便于日常现场监督检查。</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8.3.</w:t>
      </w:r>
      <w:r>
        <w:rPr>
          <w:rFonts w:hint="eastAsia"/>
          <w:b/>
          <w:bCs/>
          <w:color w:val="auto"/>
          <w:highlight w:val="none"/>
          <w:lang w:val="en-US" w:eastAsia="zh-CN"/>
        </w:rPr>
        <w:t>5.3</w:t>
      </w:r>
      <w:r>
        <w:rPr>
          <w:b/>
          <w:bCs/>
          <w:color w:val="auto"/>
          <w:highlight w:val="none"/>
        </w:rPr>
        <w:t>排污口的技术要求</w:t>
      </w:r>
    </w:p>
    <w:p>
      <w:pPr>
        <w:bidi w:val="0"/>
        <w:rPr>
          <w:color w:val="auto"/>
          <w:highlight w:val="none"/>
        </w:rPr>
      </w:pPr>
      <w:r>
        <w:rPr>
          <w:color w:val="auto"/>
          <w:highlight w:val="none"/>
        </w:rPr>
        <w:t>1、排污口的位置必须合理确定，按环监</w:t>
      </w:r>
      <w:r>
        <w:rPr>
          <w:rFonts w:hint="eastAsia"/>
          <w:color w:val="auto"/>
          <w:highlight w:val="none"/>
          <w:lang w:eastAsia="zh-CN"/>
        </w:rPr>
        <w:t>[</w:t>
      </w:r>
      <w:r>
        <w:rPr>
          <w:color w:val="auto"/>
          <w:highlight w:val="none"/>
        </w:rPr>
        <w:t>1996</w:t>
      </w:r>
      <w:r>
        <w:rPr>
          <w:rFonts w:hint="eastAsia"/>
          <w:color w:val="auto"/>
          <w:highlight w:val="none"/>
          <w:lang w:eastAsia="zh-CN"/>
        </w:rPr>
        <w:t>]</w:t>
      </w:r>
      <w:r>
        <w:rPr>
          <w:color w:val="auto"/>
          <w:highlight w:val="none"/>
        </w:rPr>
        <w:t>470号文件要求进行规范化管理。</w:t>
      </w:r>
    </w:p>
    <w:p>
      <w:pPr>
        <w:bidi w:val="0"/>
        <w:rPr>
          <w:color w:val="auto"/>
          <w:highlight w:val="none"/>
        </w:rPr>
      </w:pPr>
      <w:r>
        <w:rPr>
          <w:color w:val="auto"/>
          <w:highlight w:val="none"/>
        </w:rPr>
        <w:t>2、排放污染物的采样点设置应按《污染源监测技术规范》要求布设。</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8.3.</w:t>
      </w:r>
      <w:r>
        <w:rPr>
          <w:rFonts w:hint="eastAsia"/>
          <w:b/>
          <w:bCs/>
          <w:color w:val="auto"/>
          <w:highlight w:val="none"/>
          <w:lang w:val="en-US" w:eastAsia="zh-CN"/>
        </w:rPr>
        <w:t>5</w:t>
      </w:r>
      <w:r>
        <w:rPr>
          <w:b/>
          <w:bCs/>
          <w:color w:val="auto"/>
          <w:highlight w:val="none"/>
        </w:rPr>
        <w:t>.4排污口立标管理</w:t>
      </w:r>
    </w:p>
    <w:p>
      <w:pPr>
        <w:bidi w:val="0"/>
        <w:rPr>
          <w:color w:val="auto"/>
          <w:highlight w:val="none"/>
        </w:rPr>
      </w:pPr>
      <w:r>
        <w:rPr>
          <w:color w:val="auto"/>
          <w:highlight w:val="none"/>
        </w:rPr>
        <w:t>1、企业污染物排放口的标志，应</w:t>
      </w:r>
      <w:r>
        <w:rPr>
          <w:rFonts w:hint="eastAsia"/>
          <w:color w:val="auto"/>
          <w:highlight w:val="none"/>
          <w:lang w:eastAsia="zh-CN"/>
        </w:rPr>
        <w:t>按照</w:t>
      </w:r>
      <w:r>
        <w:rPr>
          <w:color w:val="auto"/>
          <w:highlight w:val="none"/>
        </w:rPr>
        <w:t>国家《环境保护图形标志排放口》</w:t>
      </w:r>
      <w:r>
        <w:rPr>
          <w:rFonts w:hint="eastAsia"/>
          <w:color w:val="auto"/>
          <w:highlight w:val="none"/>
          <w:lang w:eastAsia="zh-CN"/>
        </w:rPr>
        <w:t>（</w:t>
      </w:r>
      <w:r>
        <w:rPr>
          <w:color w:val="auto"/>
          <w:highlight w:val="none"/>
        </w:rPr>
        <w:t>15562.1-1995）及《环境保护图形标志 固体废物贮存</w:t>
      </w:r>
      <w:r>
        <w:rPr>
          <w:rFonts w:hint="eastAsia"/>
          <w:color w:val="auto"/>
          <w:highlight w:val="none"/>
          <w:lang w:eastAsia="zh-CN"/>
        </w:rPr>
        <w:t>（</w:t>
      </w:r>
      <w:r>
        <w:rPr>
          <w:color w:val="auto"/>
          <w:highlight w:val="none"/>
        </w:rPr>
        <w:t>处置）场》</w:t>
      </w:r>
      <w:r>
        <w:rPr>
          <w:rFonts w:hint="eastAsia"/>
          <w:color w:val="auto"/>
          <w:highlight w:val="none"/>
          <w:lang w:eastAsia="zh-CN"/>
        </w:rPr>
        <w:t>（</w:t>
      </w:r>
      <w:r>
        <w:rPr>
          <w:color w:val="auto"/>
          <w:highlight w:val="none"/>
        </w:rPr>
        <w:t>15562.2-1995）的规定，设置国家环保总局统一制作的环境保护图形标志牌。见</w:t>
      </w:r>
      <w:r>
        <w:rPr>
          <w:rFonts w:hint="eastAsia"/>
          <w:color w:val="auto"/>
          <w:highlight w:val="none"/>
          <w:lang w:eastAsia="zh-CN"/>
        </w:rPr>
        <w:t>表</w:t>
      </w:r>
      <w:r>
        <w:rPr>
          <w:rFonts w:hint="eastAsia"/>
          <w:color w:val="auto"/>
          <w:highlight w:val="none"/>
          <w:lang w:val="en-US" w:eastAsia="zh-CN"/>
        </w:rPr>
        <w:t>8.3.5.4-1</w:t>
      </w:r>
      <w:r>
        <w:rPr>
          <w:color w:val="auto"/>
          <w:highlight w:val="none"/>
        </w:rPr>
        <w:t>。</w:t>
      </w:r>
    </w:p>
    <w:p>
      <w:pPr>
        <w:bidi w:val="0"/>
        <w:rPr>
          <w:color w:val="auto"/>
          <w:highlight w:val="none"/>
        </w:rPr>
      </w:pPr>
      <w:r>
        <w:rPr>
          <w:color w:val="auto"/>
          <w:highlight w:val="none"/>
        </w:rPr>
        <w:t>2、污染物排放口的环保图形标志牌应设置在靠近采样点的醒目处，标志牌设置高度为其上缘距地面2m。</w:t>
      </w:r>
    </w:p>
    <w:p>
      <w:pPr>
        <w:bidi w:val="0"/>
        <w:rPr>
          <w:color w:val="auto"/>
          <w:highlight w:val="none"/>
        </w:rPr>
      </w:pPr>
      <w:r>
        <w:rPr>
          <w:color w:val="auto"/>
          <w:highlight w:val="none"/>
        </w:rPr>
        <w:t>表</w:t>
      </w:r>
      <w:r>
        <w:rPr>
          <w:rFonts w:hint="eastAsia"/>
          <w:color w:val="auto"/>
          <w:highlight w:val="none"/>
          <w:lang w:val="en-US" w:eastAsia="zh-CN"/>
        </w:rPr>
        <w:t>8.3.5.4-1</w:t>
      </w:r>
      <w:r>
        <w:rPr>
          <w:color w:val="auto"/>
          <w:highlight w:val="none"/>
        </w:rPr>
        <w:t xml:space="preserve">  </w:t>
      </w:r>
      <w:r>
        <w:rPr>
          <w:rFonts w:hint="eastAsia"/>
          <w:color w:val="auto"/>
          <w:highlight w:val="none"/>
          <w:lang w:val="en-US" w:eastAsia="zh-CN"/>
        </w:rPr>
        <w:t xml:space="preserve">      </w:t>
      </w:r>
      <w:r>
        <w:rPr>
          <w:color w:val="auto"/>
          <w:highlight w:val="none"/>
        </w:rPr>
        <w:t>污染物排放口环境保护图形标志一览表</w:t>
      </w: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p>
    <w:p>
      <w:pPr>
        <w:pStyle w:val="2"/>
        <w:ind w:left="0" w:leftChars="0" w:firstLine="0" w:firstLineChars="0"/>
        <w:jc w:val="both"/>
        <w:rPr>
          <w:rFonts w:hint="eastAsia" w:eastAsia="黑体"/>
          <w:lang w:eastAsia="zh-CN"/>
        </w:rPr>
      </w:pPr>
      <w:r>
        <w:rPr>
          <w:rFonts w:hint="eastAsia" w:eastAsia="黑体"/>
          <w:lang w:eastAsia="zh-CN"/>
        </w:rPr>
        <w:drawing>
          <wp:anchor distT="0" distB="0" distL="114300" distR="114300" simplePos="0" relativeHeight="251675648" behindDoc="0" locked="0" layoutInCell="1" allowOverlap="1">
            <wp:simplePos x="0" y="0"/>
            <wp:positionH relativeFrom="column">
              <wp:posOffset>0</wp:posOffset>
            </wp:positionH>
            <wp:positionV relativeFrom="paragraph">
              <wp:posOffset>-2794000</wp:posOffset>
            </wp:positionV>
            <wp:extent cx="5760720" cy="3047365"/>
            <wp:effectExtent l="0" t="0" r="11430" b="635"/>
            <wp:wrapNone/>
            <wp:docPr id="106" name="图片 106" descr="169206299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692062996935"/>
                    <pic:cNvPicPr>
                      <a:picLocks noChangeAspect="1"/>
                    </pic:cNvPicPr>
                  </pic:nvPicPr>
                  <pic:blipFill>
                    <a:blip r:embed="rId66"/>
                    <a:stretch>
                      <a:fillRect/>
                    </a:stretch>
                  </pic:blipFill>
                  <pic:spPr>
                    <a:xfrm>
                      <a:off x="0" y="0"/>
                      <a:ext cx="5760720" cy="3047365"/>
                    </a:xfrm>
                    <a:prstGeom prst="rect">
                      <a:avLst/>
                    </a:prstGeom>
                  </pic:spPr>
                </pic:pic>
              </a:graphicData>
            </a:graphic>
          </wp:anchor>
        </w:drawing>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8.3.</w:t>
      </w:r>
      <w:r>
        <w:rPr>
          <w:rFonts w:hint="eastAsia"/>
          <w:b/>
          <w:bCs/>
          <w:color w:val="auto"/>
          <w:highlight w:val="none"/>
          <w:lang w:val="en-US" w:eastAsia="zh-CN"/>
        </w:rPr>
        <w:t>5</w:t>
      </w:r>
      <w:r>
        <w:rPr>
          <w:b/>
          <w:bCs/>
          <w:color w:val="auto"/>
          <w:highlight w:val="none"/>
        </w:rPr>
        <w:t>.5排污口建档管理</w:t>
      </w:r>
    </w:p>
    <w:p>
      <w:pPr>
        <w:bidi w:val="0"/>
        <w:rPr>
          <w:color w:val="auto"/>
          <w:highlight w:val="none"/>
          <w:lang w:val="zh-CN"/>
        </w:rPr>
      </w:pPr>
      <w:r>
        <w:rPr>
          <w:color w:val="auto"/>
          <w:highlight w:val="none"/>
          <w:lang w:val="zh-CN"/>
        </w:rPr>
        <w:t>1、要求使用国家环境保护行政主管部门统一印刷的《中华人民共和国规范化排污口标志登记证》，并按要求填写有关内容。</w:t>
      </w:r>
    </w:p>
    <w:p>
      <w:pPr>
        <w:bidi w:val="0"/>
        <w:rPr>
          <w:color w:val="auto"/>
          <w:highlight w:val="none"/>
          <w:lang w:val="zh-CN"/>
        </w:rPr>
      </w:pPr>
      <w:r>
        <w:rPr>
          <w:color w:val="auto"/>
          <w:highlight w:val="none"/>
          <w:lang w:val="zh-CN"/>
        </w:rPr>
        <w:t>2、根据排污口管理档案内容要求，本项目建成后，应将主要污染物种类、数量、浓度、排放去向、达标情况及设施运行情况记录于档案。</w:t>
      </w:r>
      <w:bookmarkStart w:id="1242" w:name="_Toc20200"/>
      <w:bookmarkStart w:id="1243" w:name="_Toc501094420"/>
    </w:p>
    <w:p>
      <w:pPr>
        <w:pStyle w:val="7"/>
        <w:bidi w:val="0"/>
        <w:rPr>
          <w:rFonts w:hint="default"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rPr>
        <w:t>8.3.</w:t>
      </w:r>
      <w:r>
        <w:rPr>
          <w:rFonts w:hint="eastAsia" w:ascii="Times New Roman" w:hAnsi="Times New Roman" w:cs="Times New Roman"/>
          <w:color w:val="auto"/>
          <w:highlight w:val="none"/>
          <w:lang w:val="en-US" w:eastAsia="zh-CN"/>
        </w:rPr>
        <w:t>6</w:t>
      </w:r>
      <w:r>
        <w:rPr>
          <w:rFonts w:hint="eastAsia" w:ascii="Times New Roman" w:hAnsi="Times New Roman" w:eastAsia="宋体" w:cs="Times New Roman"/>
          <w:color w:val="auto"/>
          <w:highlight w:val="none"/>
          <w:lang w:val="en-US" w:eastAsia="zh-CN"/>
        </w:rPr>
        <w:t>排污许可制度衔接</w:t>
      </w:r>
    </w:p>
    <w:p>
      <w:pPr>
        <w:bidi w:val="0"/>
        <w:rPr>
          <w:rFonts w:ascii="宋体" w:hAnsi="Times New Roman" w:eastAsia="宋体" w:cs="Times New Roman"/>
          <w:color w:val="auto"/>
          <w:highlight w:val="none"/>
          <w:lang w:val="zh-CN"/>
        </w:rPr>
      </w:pPr>
      <w:r>
        <w:rPr>
          <w:rFonts w:ascii="宋体" w:hAnsi="Times New Roman" w:eastAsia="宋体" w:cs="Times New Roman"/>
          <w:color w:val="auto"/>
          <w:highlight w:val="none"/>
          <w:lang w:val="zh-CN"/>
        </w:rPr>
        <w:t>目前我国正在推进排污许可制度改革工作。环保部也大力推进排污许可证制度，并作为“十三五”国家固定源环境管理的核心，《国务院办公厅关于印发控制污染物排放许可制实施方案的通知》（国办发【2016】81 号）明确将排污许可制建设成为固定污染源环境管理的核心制度，作为企业守法、部门执法、社会监督的依据，为提高环境管理效能和改善环境质量奠定坚实基础。</w:t>
      </w:r>
    </w:p>
    <w:p>
      <w:pPr>
        <w:bidi w:val="0"/>
        <w:rPr>
          <w:rFonts w:ascii="宋体" w:hAnsi="Times New Roman" w:eastAsia="宋体" w:cs="Times New Roman"/>
          <w:color w:val="auto"/>
          <w:highlight w:val="none"/>
          <w:lang w:val="zh-CN"/>
        </w:rPr>
      </w:pPr>
      <w:r>
        <w:rPr>
          <w:rFonts w:ascii="宋体" w:hAnsi="Times New Roman" w:eastAsia="宋体" w:cs="Times New Roman"/>
          <w:color w:val="auto"/>
          <w:highlight w:val="none"/>
          <w:lang w:val="zh-CN"/>
        </w:rPr>
        <w:t>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pPr>
        <w:bidi w:val="0"/>
        <w:rPr>
          <w:rFonts w:ascii="宋体" w:hAnsi="Times New Roman" w:eastAsia="宋体" w:cs="Times New Roman"/>
          <w:color w:val="auto"/>
          <w:highlight w:val="none"/>
          <w:lang w:val="zh-CN"/>
        </w:rPr>
      </w:pPr>
      <w:r>
        <w:rPr>
          <w:rFonts w:ascii="宋体" w:hAnsi="Times New Roman" w:eastAsia="宋体" w:cs="Times New Roman"/>
          <w:color w:val="auto"/>
          <w:highlight w:val="none"/>
          <w:lang w:val="zh-CN"/>
        </w:rPr>
        <w:t>根据《关于做好环境影响评价制度与排污许可制衔接相关工作的通知》（环办环评</w:t>
      </w:r>
    </w:p>
    <w:p>
      <w:pPr>
        <w:bidi w:val="0"/>
        <w:ind w:left="0" w:leftChars="0" w:firstLine="0" w:firstLineChars="0"/>
        <w:rPr>
          <w:rFonts w:ascii="宋体" w:hAnsi="Times New Roman" w:eastAsia="宋体" w:cs="Times New Roman"/>
          <w:color w:val="auto"/>
          <w:highlight w:val="none"/>
          <w:lang w:val="zh-CN"/>
        </w:rPr>
      </w:pPr>
      <w:r>
        <w:rPr>
          <w:rFonts w:ascii="宋体" w:hAnsi="Times New Roman" w:eastAsia="宋体" w:cs="Times New Roman"/>
          <w:color w:val="auto"/>
          <w:highlight w:val="none"/>
          <w:lang w:val="zh-CN"/>
        </w:rPr>
        <w:t>【2017】84 号），建设项目发生实际排污行为之前，排污单位应当按照国家环境保护相关法律法规以及排污许可证申请与核发技术规范要求申请排污许可证，不得无证排污或不按证排污。环境影响报告书（表）2015 年 1 月 1 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当本项目许可证内容发生变更时应进行变更许可证，重大变更时应重新环评和申请许可证变更。</w:t>
      </w:r>
    </w:p>
    <w:p>
      <w:pPr>
        <w:bidi w:val="0"/>
        <w:rPr>
          <w:rFonts w:ascii="宋体" w:hAnsi="Times New Roman" w:eastAsia="宋体" w:cs="Times New Roman"/>
          <w:color w:val="auto"/>
          <w:highlight w:val="none"/>
          <w:lang w:val="zh-CN"/>
        </w:rPr>
      </w:pPr>
      <w:r>
        <w:rPr>
          <w:rFonts w:ascii="宋体" w:hAnsi="Times New Roman" w:eastAsia="宋体" w:cs="Times New Roman"/>
          <w:color w:val="auto"/>
          <w:highlight w:val="none"/>
          <w:lang w:val="zh-CN"/>
        </w:rPr>
        <w:t>根据《固定污染源排污许可分类管理名录（2019 年版）》属于十七、造纸和纸制品业 22 中造纸 222，本项目属于重点管理，参照《造纸行业排污许可申请与核发技术规范环水体【2016】189 号》和《排污许可申请与核发技术规范-锅炉》（HJ953-2018）进行排污许可证申报，在取得排污许可证后，需按排污许可证要求开展监测、记录台账、填写执行报告等。</w:t>
      </w:r>
    </w:p>
    <w:p>
      <w:pPr>
        <w:pStyle w:val="6"/>
        <w:bidi w:val="0"/>
        <w:rPr>
          <w:color w:val="auto"/>
          <w:highlight w:val="none"/>
        </w:rPr>
      </w:pPr>
      <w:bookmarkStart w:id="1244" w:name="_Toc11245"/>
      <w:bookmarkStart w:id="1245" w:name="_Toc25547"/>
      <w:r>
        <w:rPr>
          <w:color w:val="auto"/>
          <w:highlight w:val="none"/>
        </w:rPr>
        <w:t>8.4环保设施验收建议</w:t>
      </w:r>
      <w:bookmarkEnd w:id="1242"/>
      <w:bookmarkEnd w:id="1243"/>
      <w:bookmarkEnd w:id="1244"/>
      <w:bookmarkEnd w:id="1245"/>
    </w:p>
    <w:bookmarkEnd w:id="1232"/>
    <w:bookmarkEnd w:id="1233"/>
    <w:bookmarkEnd w:id="1234"/>
    <w:bookmarkEnd w:id="1235"/>
    <w:bookmarkEnd w:id="1236"/>
    <w:bookmarkEnd w:id="1237"/>
    <w:bookmarkEnd w:id="1238"/>
    <w:bookmarkEnd w:id="1239"/>
    <w:p>
      <w:pPr>
        <w:bidi w:val="0"/>
        <w:rPr>
          <w:rFonts w:ascii="Times New Roman" w:hAnsi="Times New Roman" w:eastAsia="宋体" w:cs="Times New Roman"/>
          <w:color w:val="auto"/>
          <w:highlight w:val="none"/>
          <w:lang w:val="zh-CN"/>
        </w:rPr>
      </w:pPr>
      <w:r>
        <w:rPr>
          <w:rFonts w:ascii="Times New Roman" w:hAnsi="Times New Roman" w:eastAsia="宋体" w:cs="Times New Roman"/>
          <w:color w:val="auto"/>
          <w:highlight w:val="none"/>
          <w:lang w:val="zh-CN"/>
        </w:rPr>
        <w:t>拟建工程环境保护验收内容见表8.4-1。</w:t>
      </w:r>
    </w:p>
    <w:p>
      <w:pPr>
        <w:rPr>
          <w:rFonts w:ascii="Times New Roman" w:hAnsi="Times New Roman" w:eastAsia="宋体" w:cs="Times New Roman"/>
          <w:caps w:val="0"/>
          <w:smallCaps w:val="0"/>
          <w:color w:val="auto"/>
          <w:spacing w:val="0"/>
          <w:w w:val="99"/>
          <w:position w:val="0"/>
          <w:highlight w:val="none"/>
        </w:rPr>
        <w:sectPr>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bidi w:val="0"/>
        <w:rPr>
          <w:rFonts w:ascii="Times New Roman" w:hAnsi="Times New Roman" w:eastAsia="宋体" w:cs="Times New Roman"/>
          <w:color w:val="auto"/>
          <w:highlight w:val="none"/>
          <w:lang w:val="zh-CN"/>
        </w:rPr>
      </w:pPr>
      <w:r>
        <w:rPr>
          <w:rFonts w:ascii="Times New Roman" w:hAnsi="Times New Roman" w:eastAsia="宋体" w:cs="Times New Roman"/>
          <w:color w:val="auto"/>
          <w:highlight w:val="none"/>
          <w:lang w:val="zh-CN"/>
        </w:rPr>
        <w:t xml:space="preserve">表8.4-1  </w:t>
      </w:r>
      <w:r>
        <w:rPr>
          <w:rFonts w:hint="eastAsia" w:ascii="Times New Roman" w:hAnsi="Times New Roman" w:eastAsia="宋体" w:cs="Times New Roman"/>
          <w:color w:val="auto"/>
          <w:highlight w:val="none"/>
          <w:lang w:val="en-US" w:eastAsia="zh-CN"/>
        </w:rPr>
        <w:t xml:space="preserve">                                        </w:t>
      </w:r>
      <w:r>
        <w:rPr>
          <w:rFonts w:ascii="Times New Roman" w:hAnsi="Times New Roman" w:eastAsia="宋体" w:cs="Times New Roman"/>
          <w:color w:val="auto"/>
          <w:highlight w:val="none"/>
          <w:lang w:val="zh-CN"/>
        </w:rPr>
        <w:t>环保验收一览表</w:t>
      </w:r>
    </w:p>
    <w:tbl>
      <w:tblPr>
        <w:tblStyle w:val="23"/>
        <w:tblW w:w="13858"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0" w:type="dxa"/>
          <w:bottom w:w="0" w:type="dxa"/>
          <w:right w:w="0" w:type="dxa"/>
        </w:tblCellMar>
      </w:tblPr>
      <w:tblGrid>
        <w:gridCol w:w="1162"/>
        <w:gridCol w:w="1683"/>
        <w:gridCol w:w="3287"/>
        <w:gridCol w:w="2180"/>
        <w:gridCol w:w="1852"/>
        <w:gridCol w:w="369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64" w:hRule="atLeast"/>
          <w:jc w:val="center"/>
        </w:trPr>
        <w:tc>
          <w:tcPr>
            <w:tcW w:w="116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类别</w:t>
            </w: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治理内容</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环保治理措施</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污染物排放情况</w:t>
            </w:r>
          </w:p>
        </w:tc>
        <w:tc>
          <w:tcPr>
            <w:tcW w:w="3694"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验收标准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4" w:hRule="atLeast"/>
          <w:jc w:val="center"/>
        </w:trPr>
        <w:tc>
          <w:tcPr>
            <w:tcW w:w="116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地表水</w:t>
            </w:r>
          </w:p>
        </w:tc>
        <w:tc>
          <w:tcPr>
            <w:tcW w:w="12696" w:type="dxa"/>
            <w:gridSpan w:val="5"/>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ascii="Times New Roman" w:hAnsi="Times New Roman" w:eastAsia="宋体" w:cs="Times New Roman"/>
                <w:caps w:val="0"/>
                <w:smallCaps w:val="0"/>
                <w:color w:val="auto"/>
                <w:spacing w:val="0"/>
                <w:w w:val="100"/>
                <w:position w:val="0"/>
                <w:sz w:val="21"/>
                <w:szCs w:val="21"/>
                <w:highlight w:val="none"/>
              </w:rPr>
              <w:t>生产工艺废水</w:t>
            </w:r>
            <w:r>
              <w:rPr>
                <w:rFonts w:hint="eastAsia" w:cs="Times New Roman"/>
                <w:caps w:val="0"/>
                <w:smallCaps w:val="0"/>
                <w:color w:val="auto"/>
                <w:spacing w:val="0"/>
                <w:w w:val="100"/>
                <w:position w:val="0"/>
                <w:sz w:val="21"/>
                <w:szCs w:val="21"/>
                <w:highlight w:val="none"/>
                <w:lang w:val="en-US" w:eastAsia="zh-CN"/>
              </w:rPr>
              <w:t>及</w:t>
            </w:r>
            <w:r>
              <w:rPr>
                <w:rFonts w:ascii="Times New Roman" w:hAnsi="Times New Roman" w:eastAsia="宋体" w:cs="Times New Roman"/>
                <w:caps w:val="0"/>
                <w:smallCaps w:val="0"/>
                <w:color w:val="auto"/>
                <w:spacing w:val="0"/>
                <w:w w:val="100"/>
                <w:position w:val="0"/>
                <w:sz w:val="21"/>
                <w:szCs w:val="21"/>
                <w:highlight w:val="none"/>
              </w:rPr>
              <w:t>锅炉排水，全部排入污水处理站，处理后全部回用于生产工艺</w:t>
            </w:r>
            <w:r>
              <w:rPr>
                <w:rFonts w:hint="eastAsia"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rPr>
              <w:t>生活污水采用</w:t>
            </w:r>
            <w:r>
              <w:rPr>
                <w:rFonts w:hint="eastAsia" w:cs="Times New Roman"/>
                <w:caps w:val="0"/>
                <w:smallCaps w:val="0"/>
                <w:color w:val="auto"/>
                <w:spacing w:val="0"/>
                <w:w w:val="100"/>
                <w:position w:val="0"/>
                <w:sz w:val="21"/>
                <w:szCs w:val="21"/>
                <w:highlight w:val="none"/>
                <w:lang w:eastAsia="zh-CN"/>
              </w:rPr>
              <w:t>防渗旱厕</w:t>
            </w:r>
            <w:r>
              <w:rPr>
                <w:rFonts w:hint="eastAsia" w:ascii="Times New Roman" w:hAnsi="Times New Roman" w:eastAsia="宋体" w:cs="Times New Roman"/>
                <w:caps w:val="0"/>
                <w:smallCaps w:val="0"/>
                <w:color w:val="auto"/>
                <w:spacing w:val="0"/>
                <w:w w:val="100"/>
                <w:position w:val="0"/>
                <w:sz w:val="21"/>
                <w:szCs w:val="21"/>
                <w:highlight w:val="none"/>
              </w:rPr>
              <w:t>收集，定期清掏还田。</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637" w:hRule="atLeast"/>
          <w:jc w:val="center"/>
        </w:trPr>
        <w:tc>
          <w:tcPr>
            <w:tcW w:w="116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地下水</w:t>
            </w:r>
          </w:p>
        </w:tc>
        <w:tc>
          <w:tcPr>
            <w:tcW w:w="12696" w:type="dxa"/>
            <w:gridSpan w:val="5"/>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bCs/>
                <w:caps w:val="0"/>
                <w:smallCaps w:val="0"/>
                <w:color w:val="auto"/>
                <w:spacing w:val="0"/>
                <w:w w:val="100"/>
                <w:position w:val="0"/>
                <w:sz w:val="21"/>
                <w:szCs w:val="21"/>
                <w:highlight w:val="none"/>
                <w:lang w:val="en-US" w:eastAsia="zh-CN"/>
              </w:rPr>
              <w:t>3</w:t>
            </w:r>
            <w:r>
              <w:rPr>
                <w:rFonts w:ascii="Times New Roman" w:hAnsi="Times New Roman" w:eastAsia="宋体" w:cs="Times New Roman"/>
                <w:bCs/>
                <w:caps w:val="0"/>
                <w:smallCaps w:val="0"/>
                <w:color w:val="auto"/>
                <w:spacing w:val="0"/>
                <w:w w:val="100"/>
                <w:position w:val="0"/>
                <w:sz w:val="21"/>
                <w:szCs w:val="21"/>
                <w:highlight w:val="none"/>
              </w:rPr>
              <w:t>眼监测井，监测指标COD</w:t>
            </w:r>
            <w:r>
              <w:rPr>
                <w:rFonts w:ascii="Times New Roman" w:hAnsi="Times New Roman" w:eastAsia="宋体" w:cs="Times New Roman"/>
                <w:caps w:val="0"/>
                <w:smallCaps w:val="0"/>
                <w:color w:val="auto"/>
                <w:spacing w:val="0"/>
                <w:w w:val="100"/>
                <w:position w:val="0"/>
                <w:sz w:val="21"/>
                <w:szCs w:val="21"/>
                <w:highlight w:val="none"/>
              </w:rPr>
              <w:t>、BOD</w:t>
            </w:r>
            <w:r>
              <w:rPr>
                <w:rFonts w:hint="eastAsia" w:cs="Times New Roman"/>
                <w:caps w:val="0"/>
                <w:smallCaps w:val="0"/>
                <w:color w:val="auto"/>
                <w:spacing w:val="0"/>
                <w:w w:val="100"/>
                <w:position w:val="0"/>
                <w:sz w:val="21"/>
                <w:szCs w:val="21"/>
                <w:highlight w:val="none"/>
                <w:vertAlign w:val="subscript"/>
                <w:lang w:val="en-US" w:eastAsia="zh-CN"/>
              </w:rPr>
              <w:t>5</w:t>
            </w:r>
            <w:r>
              <w:rPr>
                <w:rFonts w:ascii="Times New Roman" w:hAnsi="Times New Roman" w:eastAsia="宋体" w:cs="Times New Roman"/>
                <w:caps w:val="0"/>
                <w:smallCaps w:val="0"/>
                <w:color w:val="auto"/>
                <w:spacing w:val="0"/>
                <w:w w:val="100"/>
                <w:position w:val="0"/>
                <w:sz w:val="21"/>
                <w:szCs w:val="21"/>
                <w:highlight w:val="none"/>
              </w:rPr>
              <w:t>、SS、氨氮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4" w:hRule="atLeast"/>
          <w:jc w:val="center"/>
        </w:trPr>
        <w:tc>
          <w:tcPr>
            <w:tcW w:w="1162"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bCs/>
                <w:caps w:val="0"/>
                <w:smallCaps w:val="0"/>
                <w:color w:val="auto"/>
                <w:spacing w:val="0"/>
                <w:w w:val="100"/>
                <w:position w:val="0"/>
                <w:sz w:val="21"/>
                <w:szCs w:val="21"/>
                <w:highlight w:val="none"/>
              </w:rPr>
              <w:t>废气</w:t>
            </w:r>
          </w:p>
        </w:tc>
        <w:tc>
          <w:tcPr>
            <w:tcW w:w="1683" w:type="dxa"/>
            <w:tcBorders>
              <w:bottom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bCs/>
                <w:caps w:val="0"/>
                <w:smallCaps w:val="0"/>
                <w:color w:val="auto"/>
                <w:spacing w:val="0"/>
                <w:w w:val="100"/>
                <w:position w:val="0"/>
                <w:sz w:val="21"/>
                <w:szCs w:val="21"/>
                <w:highlight w:val="none"/>
              </w:rPr>
              <w:t>治理内容</w:t>
            </w:r>
          </w:p>
        </w:tc>
        <w:tc>
          <w:tcPr>
            <w:tcW w:w="3287" w:type="dxa"/>
            <w:tcBorders>
              <w:bottom w:val="single" w:color="auto" w:sz="4"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治理措施</w:t>
            </w:r>
          </w:p>
        </w:tc>
        <w:tc>
          <w:tcPr>
            <w:tcW w:w="2180" w:type="dxa"/>
            <w:tcBorders>
              <w:bottom w:val="single" w:color="000000" w:sz="8" w:space="0"/>
              <w:right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排放浓度</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mg/m</w:t>
            </w:r>
            <w:r>
              <w:rPr>
                <w:rFonts w:ascii="Times New Roman" w:hAnsi="Times New Roman" w:eastAsia="宋体" w:cs="Times New Roman"/>
                <w:caps w:val="0"/>
                <w:smallCaps w:val="0"/>
                <w:color w:val="auto"/>
                <w:spacing w:val="0"/>
                <w:w w:val="100"/>
                <w:position w:val="0"/>
                <w:sz w:val="21"/>
                <w:szCs w:val="21"/>
                <w:highlight w:val="none"/>
                <w:vertAlign w:val="superscript"/>
              </w:rPr>
              <w:t>3</w:t>
            </w:r>
            <w:r>
              <w:rPr>
                <w:rFonts w:ascii="Times New Roman" w:hAnsi="Times New Roman" w:eastAsia="宋体" w:cs="Times New Roman"/>
                <w:caps w:val="0"/>
                <w:smallCaps w:val="0"/>
                <w:color w:val="auto"/>
                <w:spacing w:val="0"/>
                <w:w w:val="100"/>
                <w:position w:val="0"/>
                <w:sz w:val="21"/>
                <w:szCs w:val="21"/>
                <w:highlight w:val="none"/>
              </w:rPr>
              <w:t>）</w:t>
            </w:r>
          </w:p>
        </w:tc>
        <w:tc>
          <w:tcPr>
            <w:tcW w:w="1852" w:type="dxa"/>
            <w:tcBorders>
              <w:left w:val="single" w:color="000000" w:sz="8" w:space="0"/>
              <w:bottom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排放量</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t/a）</w:t>
            </w:r>
          </w:p>
        </w:tc>
        <w:tc>
          <w:tcPr>
            <w:tcW w:w="3694"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袋式除尘+3</w:t>
            </w:r>
            <w:r>
              <w:rPr>
                <w:rFonts w:ascii="Times New Roman" w:hAnsi="Times New Roman" w:eastAsia="宋体" w:cs="Times New Roman"/>
                <w:caps w:val="0"/>
                <w:smallCaps w:val="0"/>
                <w:color w:val="auto"/>
                <w:spacing w:val="0"/>
                <w:w w:val="100"/>
                <w:position w:val="0"/>
                <w:sz w:val="21"/>
                <w:szCs w:val="21"/>
                <w:highlight w:val="none"/>
              </w:rPr>
              <w:t>5m高烟囱：《锅炉大气污染物排放标准》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GB13271-2014）中的表</w:t>
            </w:r>
            <w:r>
              <w:rPr>
                <w:rFonts w:hint="eastAsia" w:cs="Times New Roman"/>
                <w:caps w:val="0"/>
                <w:smallCaps w:val="0"/>
                <w:color w:val="auto"/>
                <w:spacing w:val="0"/>
                <w:w w:val="100"/>
                <w:position w:val="0"/>
                <w:sz w:val="21"/>
                <w:szCs w:val="21"/>
                <w:highlight w:val="none"/>
                <w:lang w:val="en-US" w:eastAsia="zh-CN"/>
              </w:rPr>
              <w:t>2新建锅炉</w:t>
            </w:r>
            <w:r>
              <w:rPr>
                <w:rFonts w:ascii="Times New Roman" w:hAnsi="Times New Roman" w:eastAsia="宋体" w:cs="Times New Roman"/>
                <w:caps w:val="0"/>
                <w:smallCaps w:val="0"/>
                <w:color w:val="auto"/>
                <w:spacing w:val="0"/>
                <w:w w:val="100"/>
                <w:position w:val="0"/>
                <w:sz w:val="21"/>
                <w:szCs w:val="21"/>
                <w:highlight w:val="none"/>
              </w:rPr>
              <w:t>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bottom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颗粒物</w:t>
            </w:r>
          </w:p>
        </w:tc>
        <w:tc>
          <w:tcPr>
            <w:tcW w:w="3287" w:type="dxa"/>
            <w:vMerge w:val="restart"/>
            <w:tcBorders>
              <w:top w:val="single" w:color="auto" w:sz="4"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生物质</w:t>
            </w:r>
            <w:r>
              <w:rPr>
                <w:rFonts w:ascii="Times New Roman" w:hAnsi="Times New Roman" w:eastAsia="宋体" w:cs="Times New Roman"/>
                <w:caps w:val="0"/>
                <w:smallCaps w:val="0"/>
                <w:color w:val="auto"/>
                <w:spacing w:val="0"/>
                <w:w w:val="100"/>
                <w:position w:val="0"/>
                <w:sz w:val="21"/>
                <w:szCs w:val="21"/>
                <w:highlight w:val="none"/>
              </w:rPr>
              <w:t>锅炉烟气经</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袋式除尘+3</w:t>
            </w:r>
            <w:r>
              <w:rPr>
                <w:rFonts w:ascii="Times New Roman" w:hAnsi="Times New Roman" w:eastAsia="宋体" w:cs="Times New Roman"/>
                <w:caps w:val="0"/>
                <w:smallCaps w:val="0"/>
                <w:color w:val="auto"/>
                <w:spacing w:val="0"/>
                <w:w w:val="100"/>
                <w:position w:val="0"/>
                <w:sz w:val="21"/>
                <w:szCs w:val="21"/>
                <w:highlight w:val="none"/>
              </w:rPr>
              <w:t>5m高排气筒排放</w:t>
            </w:r>
          </w:p>
        </w:tc>
        <w:tc>
          <w:tcPr>
            <w:tcW w:w="2180" w:type="dxa"/>
            <w:tcBorders>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0.24</w:t>
            </w:r>
          </w:p>
        </w:tc>
        <w:tc>
          <w:tcPr>
            <w:tcW w:w="1852" w:type="dxa"/>
            <w:tcBorders>
              <w:left w:val="single" w:color="000000" w:sz="8" w:space="0"/>
              <w:bottom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0.00625</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bottom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SO</w:t>
            </w:r>
            <w:r>
              <w:rPr>
                <w:rFonts w:ascii="Times New Roman" w:hAnsi="Times New Roman" w:eastAsia="宋体" w:cs="Times New Roman"/>
                <w:caps w:val="0"/>
                <w:smallCaps w:val="0"/>
                <w:color w:val="auto"/>
                <w:spacing w:val="0"/>
                <w:w w:val="100"/>
                <w:position w:val="0"/>
                <w:sz w:val="21"/>
                <w:szCs w:val="21"/>
                <w:highlight w:val="none"/>
                <w:vertAlign w:val="subscript"/>
              </w:rPr>
              <w:t>2</w:t>
            </w:r>
          </w:p>
        </w:tc>
        <w:tc>
          <w:tcPr>
            <w:tcW w:w="3287"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180" w:type="dxa"/>
            <w:tcBorders>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54.</w:t>
            </w:r>
            <w:r>
              <w:rPr>
                <w:rFonts w:hint="eastAsia" w:cs="Times New Roman"/>
                <w:color w:val="auto"/>
                <w:spacing w:val="0"/>
                <w:w w:val="100"/>
                <w:position w:val="0"/>
                <w:sz w:val="21"/>
                <w:szCs w:val="21"/>
                <w:highlight w:val="none"/>
                <w:lang w:val="en-US" w:eastAsia="zh-CN"/>
              </w:rPr>
              <w:t>2</w:t>
            </w:r>
          </w:p>
        </w:tc>
        <w:tc>
          <w:tcPr>
            <w:tcW w:w="1852" w:type="dxa"/>
            <w:tcBorders>
              <w:left w:val="single" w:color="000000" w:sz="8" w:space="0"/>
              <w:bottom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1.41</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top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NOx</w:t>
            </w:r>
          </w:p>
        </w:tc>
        <w:tc>
          <w:tcPr>
            <w:tcW w:w="3287"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180" w:type="dxa"/>
            <w:tcBorders>
              <w:top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ascii="Times New Roman" w:hAnsi="Times New Roman" w:eastAsia="宋体" w:cs="Times New Roman"/>
                <w:color w:val="auto"/>
                <w:spacing w:val="0"/>
                <w:w w:val="100"/>
                <w:position w:val="0"/>
                <w:sz w:val="21"/>
                <w:szCs w:val="21"/>
                <w:highlight w:val="none"/>
                <w:lang w:val="en-US" w:eastAsia="zh-CN"/>
              </w:rPr>
              <w:t>163.</w:t>
            </w:r>
            <w:r>
              <w:rPr>
                <w:rFonts w:hint="eastAsia" w:cs="Times New Roman"/>
                <w:color w:val="auto"/>
                <w:spacing w:val="0"/>
                <w:w w:val="100"/>
                <w:position w:val="0"/>
                <w:sz w:val="21"/>
                <w:szCs w:val="21"/>
                <w:highlight w:val="none"/>
                <w:lang w:val="en-US" w:eastAsia="zh-CN"/>
              </w:rPr>
              <w:t>5</w:t>
            </w:r>
          </w:p>
        </w:tc>
        <w:tc>
          <w:tcPr>
            <w:tcW w:w="1852" w:type="dxa"/>
            <w:tcBorders>
              <w:top w:val="single" w:color="000000" w:sz="8" w:space="0"/>
              <w:lef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bidi="zh-CN"/>
              </w:rPr>
            </w:pPr>
            <w:r>
              <w:rPr>
                <w:rFonts w:hint="eastAsia" w:cs="Times New Roman"/>
                <w:color w:val="auto"/>
                <w:spacing w:val="0"/>
                <w:w w:val="100"/>
                <w:position w:val="0"/>
                <w:sz w:val="21"/>
                <w:szCs w:val="21"/>
                <w:highlight w:val="none"/>
                <w:lang w:val="en-US" w:eastAsia="zh-CN"/>
              </w:rPr>
              <w:t>4.25</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4"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top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NH</w:t>
            </w:r>
            <w:r>
              <w:rPr>
                <w:rFonts w:ascii="Times New Roman" w:hAnsi="Times New Roman" w:eastAsia="宋体" w:cs="Times New Roman"/>
                <w:caps w:val="0"/>
                <w:smallCaps w:val="0"/>
                <w:color w:val="auto"/>
                <w:spacing w:val="0"/>
                <w:w w:val="100"/>
                <w:position w:val="0"/>
                <w:sz w:val="21"/>
                <w:szCs w:val="21"/>
                <w:highlight w:val="none"/>
                <w:vertAlign w:val="subscript"/>
              </w:rPr>
              <w:t>3</w:t>
            </w:r>
          </w:p>
        </w:tc>
        <w:tc>
          <w:tcPr>
            <w:tcW w:w="3287"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bCs/>
                <w:caps w:val="0"/>
                <w:smallCaps w:val="0"/>
                <w:color w:val="auto"/>
                <w:spacing w:val="0"/>
                <w:w w:val="100"/>
                <w:position w:val="0"/>
                <w:sz w:val="21"/>
                <w:szCs w:val="21"/>
                <w:highlight w:val="none"/>
                <w:lang w:eastAsia="zh-CN"/>
              </w:rPr>
              <w:t>负压集气</w:t>
            </w:r>
            <w:r>
              <w:rPr>
                <w:rFonts w:hint="eastAsia" w:ascii="Times New Roman" w:hAnsi="Times New Roman" w:eastAsia="宋体" w:cs="Times New Roman"/>
                <w:bCs/>
                <w:caps w:val="0"/>
                <w:smallCaps w:val="0"/>
                <w:color w:val="auto"/>
                <w:spacing w:val="0"/>
                <w:w w:val="100"/>
                <w:position w:val="0"/>
                <w:sz w:val="21"/>
                <w:szCs w:val="21"/>
                <w:highlight w:val="none"/>
                <w:lang w:val="en-US" w:eastAsia="zh-CN"/>
              </w:rPr>
              <w:t>+活性炭吸附+15米高排气筒排放</w:t>
            </w:r>
          </w:p>
        </w:tc>
        <w:tc>
          <w:tcPr>
            <w:tcW w:w="2180" w:type="dxa"/>
            <w:tcBorders>
              <w:top w:val="single" w:color="000000" w:sz="8" w:space="0"/>
              <w:right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1852" w:type="dxa"/>
            <w:tcBorders>
              <w:top w:val="single" w:color="000000" w:sz="8" w:space="0"/>
              <w:lef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18"/>
                <w:position w:val="0"/>
                <w:sz w:val="21"/>
                <w:szCs w:val="21"/>
                <w:highlight w:val="none"/>
                <w:lang w:val="en-US" w:eastAsia="zh-CN"/>
              </w:rPr>
            </w:pPr>
            <w:r>
              <w:rPr>
                <w:rFonts w:hint="eastAsia" w:cs="Times New Roman"/>
                <w:caps w:val="0"/>
                <w:smallCaps w:val="0"/>
                <w:color w:val="auto"/>
                <w:spacing w:val="0"/>
                <w:w w:val="100"/>
                <w:kern w:val="18"/>
                <w:position w:val="0"/>
                <w:sz w:val="21"/>
                <w:szCs w:val="21"/>
                <w:highlight w:val="none"/>
                <w:lang w:val="en-US" w:eastAsia="zh-CN"/>
              </w:rPr>
              <w:t>0.0648</w:t>
            </w:r>
          </w:p>
        </w:tc>
        <w:tc>
          <w:tcPr>
            <w:tcW w:w="3694"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bCs/>
                <w:caps w:val="0"/>
                <w:smallCaps w:val="0"/>
                <w:color w:val="auto"/>
                <w:spacing w:val="0"/>
                <w:w w:val="100"/>
                <w:position w:val="0"/>
                <w:sz w:val="21"/>
                <w:szCs w:val="21"/>
                <w:highlight w:val="none"/>
              </w:rPr>
              <w:t>NH</w:t>
            </w:r>
            <w:r>
              <w:rPr>
                <w:rFonts w:hint="eastAsia" w:ascii="Times New Roman" w:hAnsi="Times New Roman" w:eastAsia="宋体" w:cs="Times New Roman"/>
                <w:bCs/>
                <w:caps w:val="0"/>
                <w:smallCaps w:val="0"/>
                <w:color w:val="auto"/>
                <w:spacing w:val="0"/>
                <w:w w:val="100"/>
                <w:position w:val="0"/>
                <w:sz w:val="21"/>
                <w:szCs w:val="21"/>
                <w:highlight w:val="none"/>
                <w:vertAlign w:val="subscript"/>
              </w:rPr>
              <w:t>3</w:t>
            </w:r>
            <w:r>
              <w:rPr>
                <w:rFonts w:hint="eastAsia" w:ascii="Times New Roman" w:hAnsi="Times New Roman" w:eastAsia="宋体" w:cs="Times New Roman"/>
                <w:bCs/>
                <w:caps w:val="0"/>
                <w:smallCaps w:val="0"/>
                <w:color w:val="auto"/>
                <w:spacing w:val="0"/>
                <w:w w:val="100"/>
                <w:position w:val="0"/>
                <w:sz w:val="21"/>
                <w:szCs w:val="21"/>
                <w:highlight w:val="none"/>
              </w:rPr>
              <w:t>、H</w:t>
            </w:r>
            <w:r>
              <w:rPr>
                <w:rFonts w:hint="eastAsia" w:ascii="Times New Roman" w:hAnsi="Times New Roman" w:eastAsia="宋体" w:cs="Times New Roman"/>
                <w:bCs/>
                <w:caps w:val="0"/>
                <w:smallCaps w:val="0"/>
                <w:color w:val="auto"/>
                <w:spacing w:val="0"/>
                <w:w w:val="100"/>
                <w:position w:val="0"/>
                <w:sz w:val="21"/>
                <w:szCs w:val="21"/>
                <w:highlight w:val="none"/>
                <w:vertAlign w:val="subscript"/>
              </w:rPr>
              <w:t>2</w:t>
            </w:r>
            <w:r>
              <w:rPr>
                <w:rFonts w:hint="eastAsia" w:ascii="Times New Roman" w:hAnsi="Times New Roman" w:eastAsia="宋体" w:cs="Times New Roman"/>
                <w:bCs/>
                <w:caps w:val="0"/>
                <w:smallCaps w:val="0"/>
                <w:color w:val="auto"/>
                <w:spacing w:val="0"/>
                <w:w w:val="100"/>
                <w:position w:val="0"/>
                <w:sz w:val="21"/>
                <w:szCs w:val="21"/>
                <w:highlight w:val="none"/>
              </w:rPr>
              <w:t>S、臭气浓度执行《恶臭污染物排放标准》（GB14554-93）表2恶臭污染物排放标准值（NH</w:t>
            </w:r>
            <w:r>
              <w:rPr>
                <w:rFonts w:hint="eastAsia" w:ascii="Times New Roman" w:hAnsi="Times New Roman" w:eastAsia="宋体" w:cs="Times New Roman"/>
                <w:bCs/>
                <w:caps w:val="0"/>
                <w:smallCaps w:val="0"/>
                <w:color w:val="auto"/>
                <w:spacing w:val="0"/>
                <w:w w:val="100"/>
                <w:position w:val="0"/>
                <w:sz w:val="21"/>
                <w:szCs w:val="21"/>
                <w:highlight w:val="none"/>
                <w:vertAlign w:val="subscript"/>
              </w:rPr>
              <w:t>3</w:t>
            </w:r>
            <w:r>
              <w:rPr>
                <w:rFonts w:hint="eastAsia" w:ascii="Times New Roman" w:hAnsi="Times New Roman" w:eastAsia="宋体" w:cs="Times New Roman"/>
                <w:bCs/>
                <w:caps w:val="0"/>
                <w:smallCaps w:val="0"/>
                <w:color w:val="auto"/>
                <w:spacing w:val="0"/>
                <w:w w:val="100"/>
                <w:position w:val="0"/>
                <w:sz w:val="21"/>
                <w:szCs w:val="21"/>
                <w:highlight w:val="none"/>
              </w:rPr>
              <w:t>4.9kg/h、H</w:t>
            </w:r>
            <w:r>
              <w:rPr>
                <w:rFonts w:hint="eastAsia" w:ascii="Times New Roman" w:hAnsi="Times New Roman" w:eastAsia="宋体" w:cs="Times New Roman"/>
                <w:bCs/>
                <w:caps w:val="0"/>
                <w:smallCaps w:val="0"/>
                <w:color w:val="auto"/>
                <w:spacing w:val="0"/>
                <w:w w:val="100"/>
                <w:position w:val="0"/>
                <w:sz w:val="21"/>
                <w:szCs w:val="21"/>
                <w:highlight w:val="none"/>
                <w:vertAlign w:val="subscript"/>
              </w:rPr>
              <w:t>2</w:t>
            </w:r>
            <w:r>
              <w:rPr>
                <w:rFonts w:hint="eastAsia" w:ascii="Times New Roman" w:hAnsi="Times New Roman" w:eastAsia="宋体" w:cs="Times New Roman"/>
                <w:bCs/>
                <w:caps w:val="0"/>
                <w:smallCaps w:val="0"/>
                <w:color w:val="auto"/>
                <w:spacing w:val="0"/>
                <w:w w:val="100"/>
                <w:position w:val="0"/>
                <w:sz w:val="21"/>
                <w:szCs w:val="21"/>
                <w:highlight w:val="none"/>
              </w:rPr>
              <w:t>S0.33kg/h、臭气浓度＜2000）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4"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top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H</w:t>
            </w:r>
            <w:r>
              <w:rPr>
                <w:rFonts w:ascii="Times New Roman" w:hAnsi="Times New Roman" w:eastAsia="宋体" w:cs="Times New Roman"/>
                <w:caps w:val="0"/>
                <w:smallCaps w:val="0"/>
                <w:color w:val="auto"/>
                <w:spacing w:val="0"/>
                <w:w w:val="100"/>
                <w:position w:val="0"/>
                <w:sz w:val="21"/>
                <w:szCs w:val="21"/>
                <w:highlight w:val="none"/>
                <w:vertAlign w:val="subscript"/>
              </w:rPr>
              <w:t>2</w:t>
            </w:r>
            <w:r>
              <w:rPr>
                <w:rFonts w:ascii="Times New Roman" w:hAnsi="Times New Roman" w:eastAsia="宋体" w:cs="Times New Roman"/>
                <w:caps w:val="0"/>
                <w:smallCaps w:val="0"/>
                <w:color w:val="auto"/>
                <w:spacing w:val="0"/>
                <w:w w:val="100"/>
                <w:position w:val="0"/>
                <w:sz w:val="21"/>
                <w:szCs w:val="21"/>
                <w:highlight w:val="none"/>
              </w:rPr>
              <w:t>S</w:t>
            </w:r>
          </w:p>
        </w:tc>
        <w:tc>
          <w:tcPr>
            <w:tcW w:w="3287"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180" w:type="dxa"/>
            <w:tcBorders>
              <w:top w:val="single" w:color="000000" w:sz="8" w:space="0"/>
              <w:right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1852" w:type="dxa"/>
            <w:tcBorders>
              <w:top w:val="single" w:color="000000" w:sz="8" w:space="0"/>
              <w:lef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aps w:val="0"/>
                <w:smallCaps w:val="0"/>
                <w:color w:val="auto"/>
                <w:spacing w:val="0"/>
                <w:w w:val="100"/>
                <w:kern w:val="18"/>
                <w:position w:val="0"/>
                <w:sz w:val="21"/>
                <w:szCs w:val="21"/>
                <w:highlight w:val="none"/>
                <w:lang w:val="en-US" w:eastAsia="zh-CN"/>
              </w:rPr>
            </w:pPr>
            <w:r>
              <w:rPr>
                <w:rFonts w:hint="eastAsia" w:cs="Times New Roman"/>
                <w:caps w:val="0"/>
                <w:smallCaps w:val="0"/>
                <w:color w:val="auto"/>
                <w:spacing w:val="0"/>
                <w:w w:val="100"/>
                <w:kern w:val="18"/>
                <w:position w:val="0"/>
                <w:sz w:val="21"/>
                <w:szCs w:val="21"/>
                <w:highlight w:val="none"/>
                <w:lang w:val="en-US" w:eastAsia="zh-CN"/>
              </w:rPr>
              <w:t>0.00252</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621"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tcBorders>
              <w:top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臭气浓度</w:t>
            </w:r>
          </w:p>
        </w:tc>
        <w:tc>
          <w:tcPr>
            <w:tcW w:w="3287"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c>
          <w:tcPr>
            <w:tcW w:w="2180" w:type="dxa"/>
            <w:tcBorders>
              <w:top w:val="single" w:color="000000" w:sz="8" w:space="0"/>
              <w:right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1852" w:type="dxa"/>
            <w:tcBorders>
              <w:top w:val="single" w:color="000000" w:sz="8" w:space="0"/>
              <w:left w:val="single" w:color="000000" w:sz="8" w:space="0"/>
            </w:tcBorders>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kern w:val="18"/>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674" w:hRule="atLeast"/>
          <w:jc w:val="center"/>
        </w:trPr>
        <w:tc>
          <w:tcPr>
            <w:tcW w:w="116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bCs/>
                <w:caps w:val="0"/>
                <w:smallCaps w:val="0"/>
                <w:color w:val="auto"/>
                <w:spacing w:val="0"/>
                <w:w w:val="100"/>
                <w:position w:val="0"/>
                <w:sz w:val="21"/>
                <w:szCs w:val="21"/>
                <w:highlight w:val="none"/>
              </w:rPr>
              <w:t>噪声</w:t>
            </w:r>
          </w:p>
        </w:tc>
        <w:tc>
          <w:tcPr>
            <w:tcW w:w="9002" w:type="dxa"/>
            <w:gridSpan w:val="4"/>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减震、隔声措施</w:t>
            </w:r>
          </w:p>
        </w:tc>
        <w:tc>
          <w:tcPr>
            <w:tcW w:w="3694"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厂界：《工业企业厂界环境噪声排放标准》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GB12348－2008）</w:t>
            </w:r>
            <w:r>
              <w:rPr>
                <w:rFonts w:hint="eastAsia" w:cs="Times New Roman"/>
                <w:caps w:val="0"/>
                <w:smallCaps w:val="0"/>
                <w:color w:val="auto"/>
                <w:spacing w:val="0"/>
                <w:w w:val="100"/>
                <w:position w:val="0"/>
                <w:sz w:val="21"/>
                <w:szCs w:val="21"/>
                <w:highlight w:val="none"/>
                <w:lang w:val="en-US" w:eastAsia="zh-CN"/>
              </w:rPr>
              <w:t>3</w:t>
            </w:r>
            <w:r>
              <w:rPr>
                <w:rFonts w:ascii="Times New Roman" w:hAnsi="Times New Roman" w:eastAsia="宋体" w:cs="Times New Roman"/>
                <w:caps w:val="0"/>
                <w:smallCaps w:val="0"/>
                <w:color w:val="auto"/>
                <w:spacing w:val="0"/>
                <w:w w:val="100"/>
                <w:position w:val="0"/>
                <w:sz w:val="21"/>
                <w:szCs w:val="21"/>
                <w:highlight w:val="none"/>
              </w:rPr>
              <w:t>类标准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bCs/>
                <w:caps w:val="0"/>
                <w:smallCaps w:val="0"/>
                <w:color w:val="auto"/>
                <w:spacing w:val="0"/>
                <w:w w:val="100"/>
                <w:position w:val="0"/>
                <w:sz w:val="21"/>
                <w:szCs w:val="21"/>
                <w:highlight w:val="none"/>
              </w:rPr>
              <w:t>固废</w:t>
            </w:r>
          </w:p>
        </w:tc>
        <w:tc>
          <w:tcPr>
            <w:tcW w:w="1683" w:type="dxa"/>
            <w:vAlign w:val="center"/>
          </w:tcPr>
          <w:p>
            <w:pPr>
              <w:keepNext w:val="0"/>
              <w:keepLines w:val="0"/>
              <w:pageBreakBefore w:val="0"/>
              <w:widowControl w:val="0"/>
              <w:kinsoku/>
              <w:wordWrap/>
              <w:overflowPunct/>
              <w:topLinePunct w:val="0"/>
              <w:autoSpaceDE w:val="0"/>
              <w:autoSpaceDN w:val="0"/>
              <w:bidi w:val="0"/>
              <w:adjustRightInd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污染物</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处置措施</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产生量</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t/a）</w:t>
            </w:r>
          </w:p>
        </w:tc>
        <w:tc>
          <w:tcPr>
            <w:tcW w:w="3694"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leftChars="0" w:right="0" w:rightChars="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lang w:val="en-US" w:eastAsia="zh-CN" w:bidi="ar-SA"/>
              </w:rPr>
            </w:pPr>
            <w:r>
              <w:rPr>
                <w:rFonts w:ascii="Times New Roman" w:hAnsi="Times New Roman" w:eastAsia="宋体" w:cs="Times New Roman"/>
                <w:caps w:val="0"/>
                <w:smallCaps w:val="0"/>
                <w:color w:val="auto"/>
                <w:spacing w:val="0"/>
                <w:w w:val="100"/>
                <w:position w:val="0"/>
                <w:sz w:val="21"/>
                <w:szCs w:val="21"/>
                <w:highlight w:val="none"/>
              </w:rPr>
              <w:t>生活垃圾</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cs="Times New Roman"/>
                <w:color w:val="auto"/>
                <w:spacing w:val="0"/>
                <w:w w:val="100"/>
                <w:position w:val="0"/>
                <w:sz w:val="21"/>
                <w:szCs w:val="21"/>
                <w:highlight w:val="none"/>
                <w:lang w:val="en-US" w:eastAsia="zh-CN"/>
              </w:rPr>
              <w:t>由当地环卫部门统一处置</w:t>
            </w:r>
          </w:p>
        </w:tc>
        <w:tc>
          <w:tcPr>
            <w:tcW w:w="1852" w:type="dxa"/>
            <w:vAlign w:val="center"/>
          </w:tcPr>
          <w:p>
            <w:pPr>
              <w:keepNext w:val="0"/>
              <w:keepLines w:val="0"/>
              <w:pageBreakBefore w:val="0"/>
              <w:widowControl w:val="0"/>
              <w:kinsoku/>
              <w:wordWrap/>
              <w:overflowPunct/>
              <w:topLinePunct w:val="0"/>
              <w:bidi w:val="0"/>
              <w:spacing w:line="360" w:lineRule="exact"/>
              <w:ind w:left="0" w:leftChars="0" w:right="0" w:rightChars="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bidi="ar-SA"/>
              </w:rPr>
            </w:pPr>
            <w:r>
              <w:rPr>
                <w:rFonts w:hint="eastAsia" w:ascii="Times New Roman" w:cs="Times New Roman"/>
                <w:caps w:val="0"/>
                <w:smallCaps w:val="0"/>
                <w:color w:val="auto"/>
                <w:spacing w:val="0"/>
                <w:w w:val="100"/>
                <w:position w:val="0"/>
                <w:sz w:val="21"/>
                <w:szCs w:val="21"/>
                <w:highlight w:val="none"/>
                <w:lang w:val="en-US" w:eastAsia="zh-CN"/>
              </w:rPr>
              <w:t>1.24</w:t>
            </w:r>
          </w:p>
        </w:tc>
        <w:tc>
          <w:tcPr>
            <w:tcW w:w="3694"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cs="Times New Roman"/>
                <w:caps w:val="0"/>
                <w:smallCaps w:val="0"/>
                <w:color w:val="auto"/>
                <w:spacing w:val="0"/>
                <w:w w:val="100"/>
                <w:positio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cs="Times New Roman"/>
                <w:caps w:val="0"/>
                <w:smallCaps w:val="0"/>
                <w:color w:val="auto"/>
                <w:spacing w:val="0"/>
                <w:w w:val="100"/>
                <w:position w:val="0"/>
                <w:sz w:val="21"/>
                <w:szCs w:val="21"/>
                <w:highlight w:val="none"/>
                <w:lang w:eastAsia="zh-CN"/>
              </w:rPr>
              <w:t>杂质</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olor w:val="auto"/>
                <w:w w:val="100"/>
                <w:sz w:val="21"/>
                <w:highlight w:val="none"/>
                <w:lang w:val="en-US" w:eastAsia="zh-CN"/>
              </w:rPr>
              <w:t>定期外售给收购企业进行资源化利用</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335</w:t>
            </w:r>
          </w:p>
        </w:tc>
        <w:tc>
          <w:tcPr>
            <w:tcW w:w="3694"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rPr>
              <w:t>一般工业固体废物贮存和填埋污染控制标准</w:t>
            </w:r>
            <w:r>
              <w:rPr>
                <w:rFonts w:ascii="Times New Roman" w:hAnsi="Times New Roman" w:eastAsia="宋体" w:cs="Times New Roman"/>
                <w:caps w:val="0"/>
                <w:smallCaps w:val="0"/>
                <w:color w:val="auto"/>
                <w:spacing w:val="0"/>
                <w:w w:val="100"/>
                <w:position w:val="0"/>
                <w:sz w:val="21"/>
                <w:szCs w:val="21"/>
                <w:highlight w:val="none"/>
              </w:rPr>
              <w:t>》</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ascii="Times New Roman" w:hAnsi="Times New Roman" w:eastAsia="宋体" w:cs="Times New Roman"/>
                <w:caps w:val="0"/>
                <w:smallCaps w:val="0"/>
                <w:color w:val="auto"/>
                <w:spacing w:val="0"/>
                <w:w w:val="100"/>
                <w:position w:val="0"/>
                <w:sz w:val="21"/>
                <w:szCs w:val="21"/>
                <w:highlight w:val="none"/>
              </w:rPr>
              <w:t>GB18599－20</w:t>
            </w:r>
            <w:r>
              <w:rPr>
                <w:rFonts w:hint="eastAsia" w:ascii="Times New Roman" w:cs="Times New Roman"/>
                <w:caps w:val="0"/>
                <w:smallCaps w:val="0"/>
                <w:color w:val="auto"/>
                <w:spacing w:val="0"/>
                <w:w w:val="100"/>
                <w:position w:val="0"/>
                <w:sz w:val="21"/>
                <w:szCs w:val="21"/>
                <w:highlight w:val="none"/>
                <w:lang w:val="en-US" w:eastAsia="zh-CN"/>
              </w:rPr>
              <w:t>20</w:t>
            </w:r>
            <w:r>
              <w:rPr>
                <w:rFonts w:ascii="Times New Roman" w:hAnsi="Times New Roman" w:eastAsia="宋体" w:cs="Times New Roman"/>
                <w:caps w:val="0"/>
                <w:smallCaps w:val="0"/>
                <w:color w:val="auto"/>
                <w:spacing w:val="0"/>
                <w:w w:val="100"/>
                <w:position w:val="0"/>
                <w:sz w:val="21"/>
                <w:szCs w:val="21"/>
                <w:highlight w:val="none"/>
              </w:rPr>
              <w:t>）；固废暂存设施应做好防渗，原料储存在库房中，禁止露天堆放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ascii="Times New Roman" w:hAnsi="Times New Roman" w:eastAsia="宋体" w:cs="Times New Roman"/>
                <w:caps w:val="0"/>
                <w:smallCaps w:val="0"/>
                <w:color w:val="auto"/>
                <w:spacing w:val="0"/>
                <w:w w:val="100"/>
                <w:position w:val="0"/>
                <w:sz w:val="21"/>
                <w:szCs w:val="21"/>
                <w:highlight w:val="none"/>
              </w:rPr>
              <w:t>污泥</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default" w:ascii="Times New Roman" w:hAnsi="Times New Roman" w:eastAsia="宋体" w:cs="Times New Roman"/>
                <w:color w:val="auto"/>
                <w:spacing w:val="0"/>
                <w:w w:val="100"/>
                <w:position w:val="0"/>
                <w:sz w:val="21"/>
                <w:szCs w:val="21"/>
                <w:highlight w:val="none"/>
                <w:lang w:eastAsia="zh-CN"/>
              </w:rPr>
              <w:t>污泥干化后</w:t>
            </w:r>
            <w:r>
              <w:rPr>
                <w:rFonts w:hint="eastAsia" w:cs="Times New Roman"/>
                <w:color w:val="auto"/>
                <w:spacing w:val="0"/>
                <w:w w:val="100"/>
                <w:position w:val="0"/>
                <w:sz w:val="21"/>
                <w:szCs w:val="21"/>
                <w:highlight w:val="none"/>
                <w:lang w:eastAsia="zh-CN"/>
              </w:rPr>
              <w:t>，</w:t>
            </w:r>
            <w:r>
              <w:rPr>
                <w:rFonts w:hint="eastAsia" w:ascii="Times New Roman" w:hAnsi="Times New Roman" w:eastAsia="宋体" w:cs="Times New Roman"/>
                <w:color w:val="auto"/>
                <w:spacing w:val="0"/>
                <w:w w:val="100"/>
                <w:position w:val="0"/>
                <w:sz w:val="21"/>
                <w:szCs w:val="21"/>
                <w:highlight w:val="none"/>
                <w:lang w:eastAsia="zh-CN"/>
              </w:rPr>
              <w:t>定期外售</w:t>
            </w:r>
            <w:r>
              <w:rPr>
                <w:rFonts w:ascii="Times New Roman" w:hAnsi="Times New Roman" w:eastAsia="宋体" w:cs="Times New Roman"/>
                <w:color w:val="auto"/>
                <w:spacing w:val="0"/>
                <w:w w:val="100"/>
                <w:position w:val="0"/>
                <w:sz w:val="21"/>
                <w:szCs w:val="21"/>
                <w:highlight w:val="none"/>
              </w:rPr>
              <w:t>给砖厂制砖</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765</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锅炉灰渣</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olor w:val="auto"/>
                <w:w w:val="100"/>
                <w:sz w:val="21"/>
                <w:highlight w:val="none"/>
                <w:lang w:val="en-US" w:eastAsia="zh-CN"/>
              </w:rPr>
              <w:t>定期外售给收购企业进行资源化利用</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138.58</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废离子交换树脂</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由生产厂家上门更换时处理</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0.1</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ascii="Times New Roman" w:hAnsi="Times New Roman" w:eastAsia="宋体" w:cs="Times New Roman"/>
                <w:caps w:val="0"/>
                <w:smallCaps w:val="0"/>
                <w:color w:val="auto"/>
                <w:spacing w:val="0"/>
                <w:w w:val="100"/>
                <w:position w:val="0"/>
                <w:sz w:val="21"/>
                <w:szCs w:val="21"/>
                <w:highlight w:val="none"/>
                <w:lang w:val="en-US" w:eastAsia="zh-CN"/>
              </w:rPr>
              <w:t>废润滑油</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危险废物暂存间暂存后委托有资质单位处置</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0.1</w:t>
            </w:r>
          </w:p>
        </w:tc>
        <w:tc>
          <w:tcPr>
            <w:tcW w:w="3694" w:type="dxa"/>
            <w:vMerge w:val="restart"/>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rPr>
            </w:pPr>
            <w:r>
              <w:rPr>
                <w:rFonts w:hint="default" w:ascii="Times New Roman" w:hAnsi="Times New Roman" w:eastAsia="宋体" w:cs="Times New Roman"/>
                <w:caps w:val="0"/>
                <w:smallCaps w:val="0"/>
                <w:color w:val="auto"/>
                <w:spacing w:val="0"/>
                <w:w w:val="100"/>
                <w:position w:val="0"/>
                <w:sz w:val="21"/>
                <w:szCs w:val="21"/>
                <w:highlight w:val="none"/>
              </w:rPr>
              <w:t>《危险废物贮存污染控制标准》</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default" w:ascii="Times New Roman" w:hAnsi="Times New Roman" w:eastAsia="宋体" w:cs="Times New Roman"/>
                <w:caps w:val="0"/>
                <w:smallCaps w:val="0"/>
                <w:color w:val="auto"/>
                <w:spacing w:val="0"/>
                <w:w w:val="100"/>
                <w:position w:val="0"/>
                <w:sz w:val="21"/>
                <w:szCs w:val="21"/>
                <w:highlight w:val="none"/>
              </w:rPr>
              <w:t>GB18597-20</w:t>
            </w:r>
            <w:r>
              <w:rPr>
                <w:rFonts w:hint="eastAsia" w:ascii="Times New Roman" w:cs="Times New Roman"/>
                <w:caps w:val="0"/>
                <w:smallCaps w:val="0"/>
                <w:color w:val="auto"/>
                <w:spacing w:val="0"/>
                <w:w w:val="100"/>
                <w:position w:val="0"/>
                <w:sz w:val="21"/>
                <w:szCs w:val="21"/>
                <w:highlight w:val="none"/>
                <w:lang w:val="en-US" w:eastAsia="zh-CN"/>
              </w:rPr>
              <w:t>23</w:t>
            </w:r>
            <w:r>
              <w:rPr>
                <w:rFonts w:hint="default" w:ascii="Times New Roman" w:hAnsi="Times New Roman" w:eastAsia="宋体" w:cs="Times New Roman"/>
                <w:caps w:val="0"/>
                <w:smallCaps w:val="0"/>
                <w:color w:val="auto"/>
                <w:spacing w:val="0"/>
                <w:w w:val="100"/>
                <w:position w:val="0"/>
                <w:sz w:val="21"/>
                <w:szCs w:val="21"/>
                <w:highlight w:val="none"/>
              </w:rPr>
              <w:t>）</w:t>
            </w:r>
            <w:r>
              <w:rPr>
                <w:rFonts w:hint="eastAsia" w:ascii="Times New Roman" w:cs="Times New Roman"/>
                <w:caps w:val="0"/>
                <w:smallCaps w:val="0"/>
                <w:color w:val="auto"/>
                <w:spacing w:val="0"/>
                <w:w w:val="100"/>
                <w:position w:val="0"/>
                <w:sz w:val="21"/>
                <w:szCs w:val="21"/>
                <w:highlight w:val="none"/>
                <w:lang w:val="en-US" w:eastAsia="zh-CN"/>
              </w:rPr>
              <w:t>防渗要求</w:t>
            </w:r>
            <w:r>
              <w:rPr>
                <w:rFonts w:hint="default" w:ascii="Times New Roman" w:hAnsi="Times New Roman" w:eastAsia="宋体" w:cs="Times New Roman"/>
                <w:caps w:val="0"/>
                <w:smallCaps w:val="0"/>
                <w:color w:val="auto"/>
                <w:spacing w:val="0"/>
                <w:w w:val="100"/>
                <w:position w:val="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6" w:hRule="atLeast"/>
          <w:jc w:val="center"/>
        </w:trPr>
        <w:tc>
          <w:tcPr>
            <w:tcW w:w="1162"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p>
        </w:tc>
        <w:tc>
          <w:tcPr>
            <w:tcW w:w="1683"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废活性炭</w:t>
            </w:r>
          </w:p>
        </w:tc>
        <w:tc>
          <w:tcPr>
            <w:tcW w:w="5467" w:type="dxa"/>
            <w:gridSpan w:val="2"/>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eastAsia" w:ascii="Times New Roman" w:hAnsi="Times New Roman" w:eastAsia="宋体" w:cs="Times New Roman"/>
                <w:caps w:val="0"/>
                <w:smallCaps w:val="0"/>
                <w:color w:val="auto"/>
                <w:spacing w:val="0"/>
                <w:w w:val="100"/>
                <w:position w:val="0"/>
                <w:sz w:val="21"/>
                <w:szCs w:val="21"/>
                <w:highlight w:val="none"/>
                <w:lang w:eastAsia="zh-CN"/>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危险废物暂存间暂存后委托有资质单位处置</w:t>
            </w:r>
          </w:p>
        </w:tc>
        <w:tc>
          <w:tcPr>
            <w:tcW w:w="185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lang w:val="en-US" w:eastAsia="zh-CN"/>
              </w:rPr>
            </w:pPr>
            <w:r>
              <w:rPr>
                <w:rFonts w:hint="eastAsia" w:cs="Times New Roman"/>
                <w:caps w:val="0"/>
                <w:smallCaps w:val="0"/>
                <w:color w:val="auto"/>
                <w:spacing w:val="0"/>
                <w:w w:val="100"/>
                <w:position w:val="0"/>
                <w:sz w:val="21"/>
                <w:szCs w:val="21"/>
                <w:highlight w:val="none"/>
                <w:lang w:val="en-US" w:eastAsia="zh-CN"/>
              </w:rPr>
              <w:t>1.2</w:t>
            </w:r>
          </w:p>
        </w:tc>
        <w:tc>
          <w:tcPr>
            <w:tcW w:w="3694" w:type="dxa"/>
            <w:vMerge w:val="continue"/>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1365" w:hRule="atLeast"/>
          <w:jc w:val="center"/>
        </w:trPr>
        <w:tc>
          <w:tcPr>
            <w:tcW w:w="1162" w:type="dxa"/>
            <w:vAlign w:val="center"/>
          </w:tcPr>
          <w:p>
            <w:pPr>
              <w:keepNext w:val="0"/>
              <w:keepLines w:val="0"/>
              <w:pageBreakBefore w:val="0"/>
              <w:widowControl w:val="0"/>
              <w:kinsoku/>
              <w:wordWrap/>
              <w:overflowPunct/>
              <w:topLinePunct w:val="0"/>
              <w:bidi w:val="0"/>
              <w:spacing w:line="360" w:lineRule="exact"/>
              <w:ind w:left="0" w:firstLine="0" w:firstLineChars="0"/>
              <w:jc w:val="center"/>
              <w:textAlignment w:val="auto"/>
              <w:rPr>
                <w:rFonts w:ascii="Times New Roman" w:hAnsi="Times New Roman" w:eastAsia="宋体" w:cs="Times New Roman"/>
                <w:bCs/>
                <w:caps w:val="0"/>
                <w:smallCaps w:val="0"/>
                <w:color w:val="auto"/>
                <w:spacing w:val="0"/>
                <w:w w:val="100"/>
                <w:position w:val="0"/>
                <w:sz w:val="21"/>
                <w:szCs w:val="21"/>
                <w:highlight w:val="none"/>
              </w:rPr>
            </w:pPr>
            <w:r>
              <w:rPr>
                <w:rFonts w:ascii="Times New Roman" w:hAnsi="Times New Roman" w:eastAsia="宋体" w:cs="Times New Roman"/>
                <w:bCs/>
                <w:caps w:val="0"/>
                <w:smallCaps w:val="0"/>
                <w:color w:val="auto"/>
                <w:spacing w:val="0"/>
                <w:w w:val="100"/>
                <w:position w:val="0"/>
                <w:sz w:val="21"/>
                <w:szCs w:val="21"/>
                <w:highlight w:val="none"/>
              </w:rPr>
              <w:t>环境管理和监测计划</w:t>
            </w:r>
          </w:p>
        </w:tc>
        <w:tc>
          <w:tcPr>
            <w:tcW w:w="12696" w:type="dxa"/>
            <w:gridSpan w:val="5"/>
            <w:vAlign w:val="center"/>
          </w:tcPr>
          <w:p>
            <w:pPr>
              <w:keepNext w:val="0"/>
              <w:keepLines w:val="0"/>
              <w:pageBreakBefore w:val="0"/>
              <w:widowControl w:val="0"/>
              <w:kinsoku/>
              <w:wordWrap/>
              <w:overflowPunct/>
              <w:topLinePunct w:val="0"/>
              <w:bidi w:val="0"/>
              <w:snapToGrid w:val="0"/>
              <w:spacing w:line="360" w:lineRule="exact"/>
              <w:ind w:left="0" w:firstLine="0" w:firstLineChars="0"/>
              <w:jc w:val="center"/>
              <w:textAlignment w:val="auto"/>
              <w:rPr>
                <w:rFonts w:ascii="Times New Roman" w:hAnsi="Times New Roman" w:eastAsia="宋体" w:cs="Times New Roman"/>
                <w:caps w:val="0"/>
                <w:smallCaps w:val="0"/>
                <w:color w:val="auto"/>
                <w:spacing w:val="0"/>
                <w:w w:val="100"/>
                <w:position w:val="0"/>
                <w:sz w:val="21"/>
                <w:szCs w:val="21"/>
                <w:highlight w:val="none"/>
              </w:rPr>
            </w:pPr>
            <w:r>
              <w:rPr>
                <w:rFonts w:hint="eastAsia" w:ascii="Times New Roman" w:hAnsi="Times New Roman" w:eastAsia="宋体" w:cs="Times New Roman"/>
                <w:caps w:val="0"/>
                <w:smallCaps w:val="0"/>
                <w:color w:val="auto"/>
                <w:spacing w:val="0"/>
                <w:w w:val="100"/>
                <w:position w:val="0"/>
                <w:sz w:val="21"/>
                <w:szCs w:val="21"/>
                <w:highlight w:val="none"/>
                <w:lang w:eastAsia="zh-CN"/>
              </w:rPr>
              <w:t>危险废物暂存间、</w:t>
            </w:r>
            <w:r>
              <w:rPr>
                <w:rFonts w:hint="default" w:ascii="Times New Roman" w:hAnsi="Times New Roman" w:eastAsia="宋体" w:cs="Times New Roman"/>
                <w:caps w:val="0"/>
                <w:smallCaps w:val="0"/>
                <w:color w:val="auto"/>
                <w:spacing w:val="0"/>
                <w:w w:val="100"/>
                <w:position w:val="0"/>
                <w:sz w:val="21"/>
                <w:szCs w:val="21"/>
                <w:highlight w:val="none"/>
              </w:rPr>
              <w:t>生产车间</w:t>
            </w:r>
            <w:r>
              <w:rPr>
                <w:rFonts w:hint="eastAsia" w:ascii="Times New Roman" w:hAnsi="Times New Roman" w:eastAsia="宋体" w:cs="Times New Roman"/>
                <w:caps w:val="0"/>
                <w:smallCaps w:val="0"/>
                <w:color w:val="auto"/>
                <w:spacing w:val="0"/>
                <w:w w:val="100"/>
                <w:position w:val="0"/>
                <w:sz w:val="21"/>
                <w:szCs w:val="21"/>
                <w:highlight w:val="none"/>
                <w:lang w:eastAsia="zh-CN"/>
              </w:rPr>
              <w:t>、库房</w:t>
            </w:r>
            <w:r>
              <w:rPr>
                <w:rFonts w:hint="default" w:ascii="Times New Roman" w:hAnsi="Times New Roman" w:eastAsia="宋体" w:cs="Times New Roman"/>
                <w:caps w:val="0"/>
                <w:smallCaps w:val="0"/>
                <w:color w:val="auto"/>
                <w:spacing w:val="0"/>
                <w:w w:val="100"/>
                <w:position w:val="0"/>
                <w:sz w:val="21"/>
                <w:szCs w:val="21"/>
                <w:highlight w:val="none"/>
              </w:rPr>
              <w:t>等构筑物地面均应进行固化及防渗处理，污水管道及污水处理各池体应做好防渗。根据装置、单元的特点及所处的区域及部位，将建设场地划分为</w:t>
            </w:r>
            <w:r>
              <w:rPr>
                <w:rFonts w:hint="eastAsia" w:cs="Times New Roman"/>
                <w:caps w:val="0"/>
                <w:smallCaps w:val="0"/>
                <w:color w:val="auto"/>
                <w:spacing w:val="0"/>
                <w:w w:val="100"/>
                <w:position w:val="0"/>
                <w:sz w:val="21"/>
                <w:szCs w:val="21"/>
                <w:highlight w:val="none"/>
                <w:lang w:val="en-US" w:eastAsia="zh-CN"/>
              </w:rPr>
              <w:t>重点</w:t>
            </w:r>
            <w:r>
              <w:rPr>
                <w:rFonts w:hint="default" w:ascii="Times New Roman" w:hAnsi="Times New Roman" w:eastAsia="宋体" w:cs="Times New Roman"/>
                <w:caps w:val="0"/>
                <w:smallCaps w:val="0"/>
                <w:color w:val="auto"/>
                <w:spacing w:val="0"/>
                <w:w w:val="100"/>
                <w:position w:val="0"/>
                <w:sz w:val="21"/>
                <w:szCs w:val="21"/>
                <w:highlight w:val="none"/>
              </w:rPr>
              <w:t>防渗区、一般防渗区</w:t>
            </w:r>
            <w:r>
              <w:rPr>
                <w:rFonts w:hint="eastAsia" w:cs="Times New Roman"/>
                <w:caps w:val="0"/>
                <w:smallCaps w:val="0"/>
                <w:color w:val="auto"/>
                <w:spacing w:val="0"/>
                <w:w w:val="100"/>
                <w:position w:val="0"/>
                <w:sz w:val="21"/>
                <w:szCs w:val="21"/>
                <w:highlight w:val="none"/>
                <w:lang w:val="en-US" w:eastAsia="zh-CN"/>
              </w:rPr>
              <w:t>及简单防渗区</w:t>
            </w:r>
            <w:r>
              <w:rPr>
                <w:rFonts w:hint="default" w:ascii="Times New Roman" w:hAnsi="Times New Roman" w:eastAsia="宋体" w:cs="Times New Roman"/>
                <w:caps w:val="0"/>
                <w:smallCaps w:val="0"/>
                <w:color w:val="auto"/>
                <w:spacing w:val="0"/>
                <w:w w:val="100"/>
                <w:position w:val="0"/>
                <w:sz w:val="21"/>
                <w:szCs w:val="21"/>
                <w:highlight w:val="none"/>
              </w:rPr>
              <w:t>，分别采取不同等级的防渗措施。本项目</w:t>
            </w:r>
            <w:r>
              <w:rPr>
                <w:rFonts w:hint="eastAsia" w:ascii="Times New Roman" w:hAnsi="Times New Roman" w:eastAsia="宋体" w:cs="Times New Roman"/>
                <w:caps w:val="0"/>
                <w:smallCaps w:val="0"/>
                <w:color w:val="auto"/>
                <w:spacing w:val="0"/>
                <w:w w:val="100"/>
                <w:position w:val="0"/>
                <w:sz w:val="21"/>
                <w:szCs w:val="21"/>
                <w:highlight w:val="none"/>
                <w:lang w:eastAsia="zh-CN"/>
              </w:rPr>
              <w:t>重点防渗区为危险废物暂存间、</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污水处理站、事故池</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default" w:ascii="Times New Roman" w:hAnsi="Times New Roman" w:eastAsia="宋体" w:cs="Times New Roman"/>
                <w:caps w:val="0"/>
                <w:smallCaps w:val="0"/>
                <w:color w:val="auto"/>
                <w:spacing w:val="0"/>
                <w:w w:val="100"/>
                <w:position w:val="0"/>
                <w:sz w:val="21"/>
                <w:szCs w:val="21"/>
                <w:highlight w:val="none"/>
              </w:rPr>
              <w:t>设计渗透系数不大于1.0×10</w:t>
            </w:r>
            <w:r>
              <w:rPr>
                <w:rFonts w:hint="default" w:ascii="Times New Roman" w:hAnsi="Times New Roman" w:eastAsia="宋体" w:cs="Times New Roman"/>
                <w:caps w:val="0"/>
                <w:smallCaps w:val="0"/>
                <w:color w:val="auto"/>
                <w:spacing w:val="0"/>
                <w:w w:val="100"/>
                <w:position w:val="0"/>
                <w:sz w:val="21"/>
                <w:szCs w:val="21"/>
                <w:highlight w:val="none"/>
                <w:vertAlign w:val="superscript"/>
              </w:rPr>
              <w:t>-7</w:t>
            </w:r>
            <w:r>
              <w:rPr>
                <w:rFonts w:hint="default" w:ascii="Times New Roman" w:hAnsi="Times New Roman" w:eastAsia="宋体" w:cs="Times New Roman"/>
                <w:caps w:val="0"/>
                <w:smallCaps w:val="0"/>
                <w:color w:val="auto"/>
                <w:spacing w:val="0"/>
                <w:w w:val="100"/>
                <w:position w:val="0"/>
                <w:sz w:val="21"/>
                <w:szCs w:val="21"/>
                <w:highlight w:val="none"/>
              </w:rPr>
              <w:t>cm/s</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default" w:ascii="Times New Roman" w:hAnsi="Times New Roman" w:eastAsia="宋体" w:cs="Times New Roman"/>
                <w:caps w:val="0"/>
                <w:smallCaps w:val="0"/>
                <w:color w:val="auto"/>
                <w:spacing w:val="0"/>
                <w:w w:val="100"/>
                <w:position w:val="0"/>
                <w:sz w:val="21"/>
                <w:szCs w:val="21"/>
                <w:highlight w:val="none"/>
              </w:rPr>
              <w:t>一般污染防渗区包括生产车间</w:t>
            </w:r>
            <w:r>
              <w:rPr>
                <w:rFonts w:hint="eastAsia" w:ascii="Times New Roman" w:hAnsi="Times New Roman" w:eastAsia="宋体" w:cs="Times New Roman"/>
                <w:caps w:val="0"/>
                <w:smallCaps w:val="0"/>
                <w:color w:val="auto"/>
                <w:spacing w:val="0"/>
                <w:w w:val="100"/>
                <w:position w:val="0"/>
                <w:sz w:val="21"/>
                <w:szCs w:val="21"/>
                <w:highlight w:val="none"/>
                <w:lang w:eastAsia="zh-CN"/>
              </w:rPr>
              <w:t>、原料库房、成品库房</w:t>
            </w:r>
            <w:r>
              <w:rPr>
                <w:rFonts w:hint="default" w:ascii="Times New Roman" w:hAnsi="Times New Roman" w:eastAsia="宋体" w:cs="Times New Roman"/>
                <w:caps w:val="0"/>
                <w:smallCaps w:val="0"/>
                <w:color w:val="auto"/>
                <w:spacing w:val="0"/>
                <w:w w:val="100"/>
                <w:position w:val="0"/>
                <w:sz w:val="21"/>
                <w:szCs w:val="21"/>
                <w:highlight w:val="none"/>
              </w:rPr>
              <w:t>，设计渗透系数不大于1.0×10</w:t>
            </w:r>
            <w:r>
              <w:rPr>
                <w:rFonts w:hint="default" w:ascii="Times New Roman" w:hAnsi="Times New Roman" w:eastAsia="宋体" w:cs="Times New Roman"/>
                <w:caps w:val="0"/>
                <w:smallCaps w:val="0"/>
                <w:color w:val="auto"/>
                <w:spacing w:val="0"/>
                <w:w w:val="100"/>
                <w:position w:val="0"/>
                <w:sz w:val="21"/>
                <w:szCs w:val="21"/>
                <w:highlight w:val="none"/>
                <w:vertAlign w:val="superscript"/>
              </w:rPr>
              <w:t>-7</w:t>
            </w:r>
            <w:r>
              <w:rPr>
                <w:rFonts w:hint="default" w:ascii="Times New Roman" w:hAnsi="Times New Roman" w:eastAsia="宋体" w:cs="Times New Roman"/>
                <w:caps w:val="0"/>
                <w:smallCaps w:val="0"/>
                <w:color w:val="auto"/>
                <w:spacing w:val="0"/>
                <w:w w:val="100"/>
                <w:position w:val="0"/>
                <w:sz w:val="21"/>
                <w:szCs w:val="21"/>
                <w:highlight w:val="none"/>
              </w:rPr>
              <w:t>cm/s</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default" w:ascii="Times New Roman" w:hAnsi="Times New Roman" w:eastAsia="宋体" w:cs="Times New Roman"/>
                <w:caps w:val="0"/>
                <w:smallCaps w:val="0"/>
                <w:color w:val="auto"/>
                <w:spacing w:val="0"/>
                <w:w w:val="100"/>
                <w:position w:val="0"/>
                <w:sz w:val="21"/>
                <w:szCs w:val="21"/>
                <w:highlight w:val="none"/>
              </w:rPr>
              <w:t>简单防渗区包括</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办公楼</w:t>
            </w:r>
            <w:r>
              <w:rPr>
                <w:rFonts w:hint="eastAsia" w:ascii="Times New Roman" w:hAnsi="Times New Roman" w:eastAsia="宋体" w:cs="Times New Roman"/>
                <w:caps w:val="0"/>
                <w:smallCaps w:val="0"/>
                <w:color w:val="auto"/>
                <w:spacing w:val="0"/>
                <w:w w:val="100"/>
                <w:position w:val="0"/>
                <w:sz w:val="21"/>
                <w:szCs w:val="21"/>
                <w:highlight w:val="none"/>
                <w:lang w:eastAsia="zh-CN"/>
              </w:rPr>
              <w:t>、</w:t>
            </w:r>
            <w:r>
              <w:rPr>
                <w:rFonts w:hint="eastAsia" w:ascii="Times New Roman" w:hAnsi="Times New Roman" w:eastAsia="宋体" w:cs="Times New Roman"/>
                <w:caps w:val="0"/>
                <w:smallCaps w:val="0"/>
                <w:color w:val="auto"/>
                <w:spacing w:val="0"/>
                <w:w w:val="100"/>
                <w:position w:val="0"/>
                <w:sz w:val="21"/>
                <w:szCs w:val="21"/>
                <w:highlight w:val="none"/>
                <w:lang w:val="en-US" w:eastAsia="zh-CN"/>
              </w:rPr>
              <w:t>门卫及厂区未绿化地面</w:t>
            </w:r>
            <w:r>
              <w:rPr>
                <w:rFonts w:hint="default" w:ascii="Times New Roman" w:hAnsi="Times New Roman" w:eastAsia="宋体" w:cs="Times New Roman"/>
                <w:caps w:val="0"/>
                <w:smallCaps w:val="0"/>
                <w:color w:val="auto"/>
                <w:spacing w:val="0"/>
                <w:w w:val="100"/>
                <w:position w:val="0"/>
                <w:sz w:val="21"/>
                <w:szCs w:val="21"/>
                <w:highlight w:val="none"/>
              </w:rPr>
              <w:t>，做地面硬化处理。</w:t>
            </w:r>
          </w:p>
        </w:tc>
      </w:tr>
    </w:tbl>
    <w:p>
      <w:pPr>
        <w:widowControl/>
        <w:topLinePunct/>
        <w:spacing w:line="420" w:lineRule="auto"/>
        <w:jc w:val="left"/>
        <w:outlineLvl w:val="9"/>
        <w:rPr>
          <w:rFonts w:ascii="Times New Roman" w:hAnsi="Times New Roman" w:eastAsia="宋体" w:cs="Times New Roman"/>
          <w:caps w:val="0"/>
          <w:smallCaps w:val="0"/>
          <w:color w:val="auto"/>
          <w:spacing w:val="0"/>
          <w:w w:val="99"/>
          <w:position w:val="0"/>
          <w:sz w:val="32"/>
          <w:szCs w:val="32"/>
          <w:highlight w:val="none"/>
        </w:rPr>
        <w:sectPr>
          <w:pgSz w:w="16838" w:h="11911" w:orient="landscape"/>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pPr>
    </w:p>
    <w:p>
      <w:pPr>
        <w:pStyle w:val="5"/>
        <w:bidi w:val="0"/>
        <w:rPr>
          <w:color w:val="auto"/>
          <w:highlight w:val="none"/>
        </w:rPr>
      </w:pPr>
      <w:bookmarkStart w:id="1246" w:name="_Toc10573"/>
      <w:bookmarkStart w:id="1247" w:name="_Toc30224"/>
      <w:r>
        <w:rPr>
          <w:color w:val="auto"/>
          <w:highlight w:val="none"/>
        </w:rPr>
        <w:t>9评价结论</w:t>
      </w:r>
      <w:bookmarkEnd w:id="1246"/>
      <w:bookmarkEnd w:id="1247"/>
    </w:p>
    <w:p>
      <w:pPr>
        <w:pStyle w:val="6"/>
        <w:bidi w:val="0"/>
        <w:rPr>
          <w:color w:val="auto"/>
          <w:highlight w:val="none"/>
        </w:rPr>
      </w:pPr>
      <w:bookmarkStart w:id="1248" w:name="_Toc26838"/>
      <w:bookmarkStart w:id="1249" w:name="_Toc4223"/>
      <w:r>
        <w:rPr>
          <w:color w:val="auto"/>
          <w:highlight w:val="none"/>
        </w:rPr>
        <w:t>9.1建设项目的建设概况</w:t>
      </w:r>
      <w:bookmarkEnd w:id="1248"/>
      <w:bookmarkEnd w:id="1249"/>
    </w:p>
    <w:p>
      <w:pPr>
        <w:bidi w:val="0"/>
        <w:rPr>
          <w:color w:val="auto"/>
          <w:highlight w:val="none"/>
        </w:rPr>
      </w:pPr>
      <w:r>
        <w:rPr>
          <w:rFonts w:hint="eastAsia"/>
          <w:color w:val="auto"/>
          <w:highlight w:val="none"/>
          <w:lang w:eastAsia="zh-CN"/>
        </w:rPr>
        <w:t>大庆市李氏纸业制造有限责任公司在原址进行造纸项目改建。改建项目生产规模不变，以漂白针叶木浆和木浆成份纸板为原料，年生产10000t薄页纸、特种纸、纸板。现有</w:t>
      </w:r>
      <w:r>
        <w:rPr>
          <w:rFonts w:hint="eastAsia"/>
          <w:color w:val="auto"/>
          <w:highlight w:val="none"/>
          <w:lang w:val="en-US" w:eastAsia="zh-CN"/>
        </w:rPr>
        <w:t>6t/h燃煤锅炉改为生物质锅炉，水膜除尘改为袋式除尘，生产废水改为全部回用不外排，及</w:t>
      </w:r>
      <w:r>
        <w:rPr>
          <w:rFonts w:hint="eastAsia"/>
          <w:color w:val="auto"/>
          <w:highlight w:val="none"/>
          <w:lang w:eastAsia="zh-CN"/>
        </w:rPr>
        <w:t>其他配套工程及设施不变。本次改建项目未新增用地，也未增加生产规模。</w:t>
      </w:r>
    </w:p>
    <w:p>
      <w:pPr>
        <w:pStyle w:val="6"/>
        <w:bidi w:val="0"/>
        <w:rPr>
          <w:color w:val="auto"/>
          <w:highlight w:val="none"/>
        </w:rPr>
      </w:pPr>
      <w:bookmarkStart w:id="1250" w:name="_Toc22444"/>
      <w:bookmarkStart w:id="1251" w:name="_Toc31148"/>
      <w:r>
        <w:rPr>
          <w:color w:val="auto"/>
          <w:highlight w:val="none"/>
        </w:rPr>
        <w:t>9.2评价区环境质量现状评价结论</w:t>
      </w:r>
      <w:bookmarkEnd w:id="1250"/>
      <w:bookmarkEnd w:id="1251"/>
    </w:p>
    <w:p>
      <w:pPr>
        <w:pStyle w:val="7"/>
        <w:bidi w:val="0"/>
        <w:rPr>
          <w:color w:val="auto"/>
          <w:highlight w:val="none"/>
        </w:rPr>
      </w:pPr>
      <w:bookmarkStart w:id="1252" w:name="_Toc13707"/>
      <w:r>
        <w:rPr>
          <w:color w:val="auto"/>
          <w:highlight w:val="none"/>
        </w:rPr>
        <w:t>9.2.1环境空气质量现状评价结论</w:t>
      </w:r>
      <w:bookmarkEnd w:id="1252"/>
    </w:p>
    <w:p>
      <w:pPr>
        <w:bidi w:val="0"/>
        <w:rPr>
          <w:rFonts w:ascii="Times New Roman" w:hAnsi="Times New Roman" w:eastAsia="宋体" w:cs="Times New Roman"/>
          <w:color w:val="auto"/>
          <w:spacing w:val="0"/>
          <w:w w:val="99"/>
          <w:position w:val="0"/>
          <w:szCs w:val="24"/>
          <w:highlight w:val="none"/>
        </w:rPr>
      </w:pPr>
      <w:r>
        <w:rPr>
          <w:rFonts w:hint="eastAsia"/>
          <w:color w:val="auto"/>
          <w:highlight w:val="none"/>
          <w:lang w:val="en-US" w:eastAsia="zh-CN"/>
        </w:rPr>
        <w:t>根据</w:t>
      </w:r>
      <w:r>
        <w:rPr>
          <w:color w:val="auto"/>
          <w:highlight w:val="none"/>
        </w:rPr>
        <w:t>大气环境质量现状监测结果可知，目前该区域NO</w:t>
      </w:r>
      <w:r>
        <w:rPr>
          <w:color w:val="auto"/>
          <w:highlight w:val="none"/>
          <w:vertAlign w:val="subscript"/>
        </w:rPr>
        <w:t>2</w:t>
      </w:r>
      <w:r>
        <w:rPr>
          <w:color w:val="auto"/>
          <w:highlight w:val="none"/>
        </w:rPr>
        <w:t>、NO</w:t>
      </w:r>
      <w:r>
        <w:rPr>
          <w:color w:val="auto"/>
          <w:highlight w:val="none"/>
          <w:vertAlign w:val="subscript"/>
        </w:rPr>
        <w:t>x</w:t>
      </w:r>
      <w:r>
        <w:rPr>
          <w:color w:val="auto"/>
          <w:highlight w:val="none"/>
        </w:rPr>
        <w:t>、SO</w:t>
      </w:r>
      <w:r>
        <w:rPr>
          <w:color w:val="auto"/>
          <w:highlight w:val="none"/>
          <w:vertAlign w:val="subscript"/>
        </w:rPr>
        <w:t>2</w:t>
      </w:r>
      <w:r>
        <w:rPr>
          <w:color w:val="auto"/>
          <w:highlight w:val="none"/>
        </w:rPr>
        <w:t>、PM</w:t>
      </w:r>
      <w:r>
        <w:rPr>
          <w:color w:val="auto"/>
          <w:highlight w:val="none"/>
          <w:vertAlign w:val="subscript"/>
        </w:rPr>
        <w:t>10</w:t>
      </w:r>
      <w:r>
        <w:rPr>
          <w:color w:val="auto"/>
          <w:highlight w:val="none"/>
        </w:rPr>
        <w:t>达《环境空气质量标准》</w:t>
      </w:r>
      <w:r>
        <w:rPr>
          <w:rFonts w:hint="eastAsia"/>
          <w:color w:val="auto"/>
          <w:highlight w:val="none"/>
          <w:lang w:eastAsia="zh-CN"/>
        </w:rPr>
        <w:t>（</w:t>
      </w:r>
      <w:r>
        <w:rPr>
          <w:color w:val="auto"/>
          <w:highlight w:val="none"/>
        </w:rPr>
        <w:t>GB3095-2012</w:t>
      </w:r>
      <w:r>
        <w:rPr>
          <w:rFonts w:hint="eastAsia"/>
          <w:color w:val="auto"/>
          <w:highlight w:val="none"/>
          <w:lang w:eastAsia="zh-CN"/>
        </w:rPr>
        <w:t>）</w:t>
      </w:r>
      <w:r>
        <w:rPr>
          <w:color w:val="auto"/>
          <w:highlight w:val="none"/>
        </w:rPr>
        <w:t>中二级标准限值要求；H</w:t>
      </w:r>
      <w:r>
        <w:rPr>
          <w:color w:val="auto"/>
          <w:highlight w:val="none"/>
          <w:vertAlign w:val="subscript"/>
        </w:rPr>
        <w:t>2</w:t>
      </w:r>
      <w:r>
        <w:rPr>
          <w:color w:val="auto"/>
          <w:highlight w:val="none"/>
        </w:rPr>
        <w:t>S、NH</w:t>
      </w:r>
      <w:r>
        <w:rPr>
          <w:color w:val="auto"/>
          <w:highlight w:val="none"/>
          <w:vertAlign w:val="subscript"/>
        </w:rPr>
        <w:t>3</w:t>
      </w:r>
      <w:r>
        <w:rPr>
          <w:color w:val="auto"/>
          <w:highlight w:val="none"/>
        </w:rPr>
        <w:t>浓度达《环境影响评价技术导则</w:t>
      </w:r>
      <w:r>
        <w:rPr>
          <w:rFonts w:hint="eastAsia"/>
          <w:color w:val="auto"/>
          <w:highlight w:val="none"/>
          <w:lang w:val="en-US" w:eastAsia="zh-CN"/>
        </w:rPr>
        <w:t xml:space="preserve"> </w:t>
      </w:r>
      <w:r>
        <w:rPr>
          <w:color w:val="auto"/>
          <w:highlight w:val="none"/>
        </w:rPr>
        <w:t>大气环境》</w:t>
      </w:r>
      <w:r>
        <w:rPr>
          <w:rFonts w:hint="eastAsia"/>
          <w:color w:val="auto"/>
          <w:highlight w:val="none"/>
          <w:lang w:eastAsia="zh-CN"/>
        </w:rPr>
        <w:t>（</w:t>
      </w:r>
      <w:r>
        <w:rPr>
          <w:color w:val="auto"/>
          <w:highlight w:val="none"/>
        </w:rPr>
        <w:t>HJ2.2-2018）表D.1其他污染物空气质量浓度参考限值，评价区域环境空气质量现状较好。</w:t>
      </w:r>
    </w:p>
    <w:p>
      <w:pPr>
        <w:pStyle w:val="7"/>
        <w:bidi w:val="0"/>
        <w:rPr>
          <w:color w:val="auto"/>
          <w:highlight w:val="none"/>
        </w:rPr>
      </w:pPr>
      <w:bookmarkStart w:id="1253" w:name="_Toc24761"/>
      <w:r>
        <w:rPr>
          <w:color w:val="auto"/>
          <w:highlight w:val="none"/>
        </w:rPr>
        <w:t>9.2.2地表水环境现状评价结论</w:t>
      </w:r>
      <w:bookmarkEnd w:id="1253"/>
    </w:p>
    <w:p>
      <w:pPr>
        <w:bidi w:val="0"/>
        <w:rPr>
          <w:color w:val="auto"/>
          <w:highlight w:val="none"/>
        </w:rPr>
      </w:pPr>
      <w:r>
        <w:rPr>
          <w:color w:val="auto"/>
          <w:highlight w:val="none"/>
        </w:rPr>
        <w:t>由于本工程</w:t>
      </w:r>
      <w:r>
        <w:rPr>
          <w:rFonts w:hint="eastAsia"/>
          <w:color w:val="auto"/>
          <w:highlight w:val="none"/>
          <w:lang w:eastAsia="zh-CN"/>
        </w:rPr>
        <w:t>不</w:t>
      </w:r>
      <w:r>
        <w:rPr>
          <w:color w:val="auto"/>
          <w:highlight w:val="none"/>
        </w:rPr>
        <w:t>涉及的地表水体</w:t>
      </w:r>
      <w:r>
        <w:rPr>
          <w:rFonts w:hint="eastAsia"/>
          <w:color w:val="auto"/>
          <w:highlight w:val="none"/>
          <w:lang w:eastAsia="zh-CN"/>
        </w:rPr>
        <w:t>，</w:t>
      </w:r>
      <w:r>
        <w:rPr>
          <w:color w:val="auto"/>
          <w:highlight w:val="none"/>
        </w:rPr>
        <w:t>距离本项目最近地表水体为</w:t>
      </w:r>
      <w:r>
        <w:rPr>
          <w:rFonts w:hint="eastAsia"/>
          <w:color w:val="auto"/>
          <w:highlight w:val="none"/>
          <w:lang w:eastAsia="zh-CN"/>
        </w:rPr>
        <w:t>库里泡</w:t>
      </w:r>
      <w:r>
        <w:rPr>
          <w:color w:val="auto"/>
          <w:highlight w:val="none"/>
        </w:rPr>
        <w:t>，位于本项目</w:t>
      </w:r>
      <w:r>
        <w:rPr>
          <w:rFonts w:hint="eastAsia"/>
          <w:color w:val="auto"/>
          <w:highlight w:val="none"/>
          <w:lang w:eastAsia="zh-CN"/>
        </w:rPr>
        <w:t>东南</w:t>
      </w:r>
      <w:r>
        <w:rPr>
          <w:color w:val="auto"/>
          <w:highlight w:val="none"/>
        </w:rPr>
        <w:t>侧5.</w:t>
      </w:r>
      <w:r>
        <w:rPr>
          <w:rFonts w:hint="eastAsia"/>
          <w:color w:val="auto"/>
          <w:highlight w:val="none"/>
          <w:lang w:val="en-US" w:eastAsia="zh-CN"/>
        </w:rPr>
        <w:t>2</w:t>
      </w:r>
      <w:r>
        <w:rPr>
          <w:color w:val="auto"/>
          <w:highlight w:val="none"/>
        </w:rPr>
        <w:t>km，根据《大庆市人民政府关于印发大庆市声环境功能区划分、大庆市环境空气质量功能区划分、大庆市地表水环境功能区划分的通知》</w:t>
      </w:r>
      <w:r>
        <w:rPr>
          <w:rFonts w:hint="eastAsia"/>
          <w:color w:val="auto"/>
          <w:highlight w:val="none"/>
          <w:lang w:eastAsia="zh-CN"/>
        </w:rPr>
        <w:t>（</w:t>
      </w:r>
      <w:r>
        <w:rPr>
          <w:color w:val="auto"/>
          <w:highlight w:val="none"/>
        </w:rPr>
        <w:t>庆政发</w:t>
      </w:r>
      <w:r>
        <w:rPr>
          <w:rFonts w:hint="eastAsia"/>
          <w:color w:val="auto"/>
          <w:highlight w:val="none"/>
          <w:lang w:eastAsia="zh-CN"/>
        </w:rPr>
        <w:t>[</w:t>
      </w:r>
      <w:r>
        <w:rPr>
          <w:color w:val="auto"/>
          <w:highlight w:val="none"/>
        </w:rPr>
        <w:t>2019</w:t>
      </w:r>
      <w:r>
        <w:rPr>
          <w:rFonts w:hint="eastAsia"/>
          <w:color w:val="auto"/>
          <w:highlight w:val="none"/>
          <w:lang w:eastAsia="zh-CN"/>
        </w:rPr>
        <w:t>]</w:t>
      </w:r>
      <w:r>
        <w:rPr>
          <w:color w:val="auto"/>
          <w:highlight w:val="none"/>
        </w:rPr>
        <w:t>11号），</w:t>
      </w:r>
      <w:r>
        <w:rPr>
          <w:rFonts w:hint="eastAsia"/>
          <w:color w:val="auto"/>
          <w:highlight w:val="none"/>
          <w:lang w:eastAsia="zh-CN"/>
        </w:rPr>
        <w:t>库里泡</w:t>
      </w:r>
      <w:r>
        <w:rPr>
          <w:color w:val="auto"/>
          <w:highlight w:val="none"/>
        </w:rPr>
        <w:t>水体功能为</w:t>
      </w:r>
      <w:r>
        <w:rPr>
          <w:rFonts w:hint="eastAsia"/>
          <w:color w:val="auto"/>
          <w:highlight w:val="none"/>
          <w:lang w:eastAsia="zh-CN"/>
        </w:rPr>
        <w:t>过渡</w:t>
      </w:r>
      <w:r>
        <w:rPr>
          <w:color w:val="auto"/>
          <w:highlight w:val="none"/>
        </w:rPr>
        <w:t>区，执行《地表水</w:t>
      </w:r>
      <w:r>
        <w:rPr>
          <w:rFonts w:hint="eastAsia"/>
          <w:color w:val="auto"/>
          <w:highlight w:val="none"/>
          <w:lang w:val="en-US" w:eastAsia="zh-CN"/>
        </w:rPr>
        <w:t xml:space="preserve"> </w:t>
      </w:r>
      <w:r>
        <w:rPr>
          <w:color w:val="auto"/>
          <w:highlight w:val="none"/>
        </w:rPr>
        <w:t>环境质量标准》</w:t>
      </w:r>
      <w:r>
        <w:rPr>
          <w:rFonts w:hint="eastAsia"/>
          <w:color w:val="auto"/>
          <w:highlight w:val="none"/>
          <w:lang w:eastAsia="zh-CN"/>
        </w:rPr>
        <w:t>（</w:t>
      </w:r>
      <w:r>
        <w:rPr>
          <w:color w:val="auto"/>
          <w:highlight w:val="none"/>
        </w:rPr>
        <w:t>GB3838-2002）中</w:t>
      </w:r>
      <w:r>
        <w:rPr>
          <w:rFonts w:hint="eastAsia"/>
          <w:color w:val="auto"/>
          <w:highlight w:val="none"/>
        </w:rPr>
        <w:t>Ⅳ</w:t>
      </w:r>
      <w:r>
        <w:rPr>
          <w:color w:val="auto"/>
          <w:highlight w:val="none"/>
        </w:rPr>
        <w:t>类水体标准。根据《202</w:t>
      </w:r>
      <w:r>
        <w:rPr>
          <w:rFonts w:hint="eastAsia"/>
          <w:color w:val="auto"/>
          <w:highlight w:val="none"/>
          <w:lang w:val="en-US" w:eastAsia="zh-CN"/>
        </w:rPr>
        <w:t>2</w:t>
      </w:r>
      <w:r>
        <w:rPr>
          <w:color w:val="auto"/>
          <w:highlight w:val="none"/>
        </w:rPr>
        <w:t>年大庆市生态环境状况公报》可知，</w:t>
      </w:r>
      <w:r>
        <w:rPr>
          <w:rFonts w:hint="eastAsia"/>
          <w:color w:val="auto"/>
          <w:highlight w:val="none"/>
        </w:rPr>
        <w:t>通过对库里泡出口以及古恰泄洪闸口监测数据进行分析，个别指标未满足《地表水环境质量标准》</w:t>
      </w:r>
      <w:r>
        <w:rPr>
          <w:rFonts w:hint="eastAsia"/>
          <w:color w:val="auto"/>
          <w:highlight w:val="none"/>
          <w:lang w:eastAsia="zh-CN"/>
        </w:rPr>
        <w:t>（</w:t>
      </w:r>
      <w:r>
        <w:rPr>
          <w:rFonts w:hint="eastAsia"/>
          <w:color w:val="auto"/>
          <w:highlight w:val="none"/>
        </w:rPr>
        <w:t>GB3838-2002）Ⅳ类标准，主要为化学需氧量。</w:t>
      </w:r>
      <w:r>
        <w:rPr>
          <w:rFonts w:hint="eastAsia" w:cs="Times New Roman"/>
          <w:color w:val="auto"/>
          <w:sz w:val="24"/>
          <w:szCs w:val="22"/>
          <w:highlight w:val="none"/>
          <w:lang w:val="en-US" w:eastAsia="zh-CN" w:bidi="zh-CN"/>
        </w:rPr>
        <w:t>因此</w:t>
      </w:r>
      <w:r>
        <w:rPr>
          <w:rFonts w:hint="eastAsia" w:ascii="Times New Roman" w:hAnsi="Times New Roman" w:eastAsia="宋体" w:cs="Times New Roman"/>
          <w:color w:val="auto"/>
          <w:sz w:val="24"/>
          <w:szCs w:val="22"/>
          <w:highlight w:val="none"/>
          <w:lang w:val="en-US" w:eastAsia="zh-CN" w:bidi="zh-CN"/>
        </w:rPr>
        <w:t>库里泡执行《地表水环境质量标准》（GB3838-2002）中</w:t>
      </w:r>
      <w:r>
        <w:rPr>
          <w:rFonts w:hint="eastAsia" w:cs="Times New Roman"/>
          <w:color w:val="auto"/>
          <w:sz w:val="24"/>
          <w:szCs w:val="22"/>
          <w:highlight w:val="none"/>
          <w:lang w:val="en-US" w:eastAsia="zh-CN" w:bidi="zh-CN"/>
        </w:rPr>
        <w:t>Ⅴ</w:t>
      </w:r>
      <w:r>
        <w:rPr>
          <w:rFonts w:hint="eastAsia" w:ascii="Times New Roman" w:hAnsi="Times New Roman" w:eastAsia="宋体" w:cs="Times New Roman"/>
          <w:color w:val="auto"/>
          <w:sz w:val="24"/>
          <w:szCs w:val="22"/>
          <w:highlight w:val="none"/>
          <w:lang w:val="en-US" w:eastAsia="zh-CN" w:bidi="zh-CN"/>
        </w:rPr>
        <w:t>类水体标准。</w:t>
      </w:r>
    </w:p>
    <w:p>
      <w:pPr>
        <w:pStyle w:val="7"/>
        <w:bidi w:val="0"/>
        <w:rPr>
          <w:color w:val="auto"/>
          <w:highlight w:val="none"/>
        </w:rPr>
      </w:pPr>
      <w:bookmarkStart w:id="1254" w:name="_Toc1277"/>
      <w:r>
        <w:rPr>
          <w:color w:val="auto"/>
          <w:highlight w:val="none"/>
        </w:rPr>
        <w:t>9.2.3地下水环境现状评价结论</w:t>
      </w:r>
      <w:bookmarkEnd w:id="1254"/>
    </w:p>
    <w:p>
      <w:pPr>
        <w:bidi w:val="0"/>
        <w:rPr>
          <w:color w:val="auto"/>
          <w:highlight w:val="none"/>
        </w:rPr>
      </w:pPr>
      <w:r>
        <w:rPr>
          <w:color w:val="auto"/>
          <w:highlight w:val="none"/>
        </w:rPr>
        <w:t>地下水监测结果表明，厂区及周边地下水K</w:t>
      </w:r>
      <w:r>
        <w:rPr>
          <w:color w:val="auto"/>
          <w:highlight w:val="none"/>
          <w:vertAlign w:val="superscript"/>
        </w:rPr>
        <w:t>+</w:t>
      </w:r>
      <w:r>
        <w:rPr>
          <w:color w:val="auto"/>
          <w:highlight w:val="none"/>
        </w:rPr>
        <w:t>、Na</w:t>
      </w:r>
      <w:r>
        <w:rPr>
          <w:color w:val="auto"/>
          <w:highlight w:val="none"/>
          <w:vertAlign w:val="superscript"/>
        </w:rPr>
        <w:t>+</w:t>
      </w:r>
      <w:r>
        <w:rPr>
          <w:color w:val="auto"/>
          <w:highlight w:val="none"/>
        </w:rPr>
        <w:t>、Ca</w:t>
      </w:r>
      <w:r>
        <w:rPr>
          <w:rFonts w:hint="eastAsia"/>
          <w:color w:val="auto"/>
          <w:highlight w:val="none"/>
          <w:vertAlign w:val="superscript"/>
          <w:lang w:val="en-US" w:eastAsia="zh-CN"/>
        </w:rPr>
        <w:t>2</w:t>
      </w:r>
      <w:r>
        <w:rPr>
          <w:color w:val="auto"/>
          <w:highlight w:val="none"/>
          <w:vertAlign w:val="superscript"/>
        </w:rPr>
        <w:t>+</w:t>
      </w:r>
      <w:r>
        <w:rPr>
          <w:color w:val="auto"/>
          <w:highlight w:val="none"/>
        </w:rPr>
        <w:t>、Mg</w:t>
      </w:r>
      <w:r>
        <w:rPr>
          <w:rFonts w:hint="eastAsia"/>
          <w:color w:val="auto"/>
          <w:highlight w:val="none"/>
          <w:vertAlign w:val="superscript"/>
          <w:lang w:val="en-US" w:eastAsia="zh-CN"/>
        </w:rPr>
        <w:t>2</w:t>
      </w:r>
      <w:r>
        <w:rPr>
          <w:color w:val="auto"/>
          <w:highlight w:val="none"/>
          <w:vertAlign w:val="superscript"/>
        </w:rPr>
        <w:t>+</w:t>
      </w:r>
      <w:r>
        <w:rPr>
          <w:color w:val="auto"/>
          <w:highlight w:val="none"/>
        </w:rPr>
        <w:t>、铜、锌、砷、汞、镉、铬</w:t>
      </w:r>
      <w:r>
        <w:rPr>
          <w:rFonts w:hint="eastAsia"/>
          <w:color w:val="auto"/>
          <w:highlight w:val="none"/>
          <w:lang w:eastAsia="zh-CN"/>
        </w:rPr>
        <w:t>（</w:t>
      </w:r>
      <w:r>
        <w:rPr>
          <w:color w:val="auto"/>
          <w:highlight w:val="none"/>
        </w:rPr>
        <w:t>六价）、pH、高锰酸盐指数、氨氮、氟化物、硫酸盐、硝酸盐、亚硝酸盐、氯化物、总硬度、挥发性酚、总大肠菌群等监测项目均符合《地下水质量标准》</w:t>
      </w:r>
      <w:r>
        <w:rPr>
          <w:rFonts w:hint="eastAsia"/>
          <w:color w:val="auto"/>
          <w:highlight w:val="none"/>
          <w:lang w:eastAsia="zh-CN"/>
        </w:rPr>
        <w:t>（</w:t>
      </w:r>
      <w:r>
        <w:rPr>
          <w:color w:val="auto"/>
          <w:highlight w:val="none"/>
        </w:rPr>
        <w:t>GB/T14848-2017）中</w:t>
      </w:r>
      <w:r>
        <w:rPr>
          <w:rFonts w:hint="eastAsia"/>
          <w:color w:val="auto"/>
          <w:highlight w:val="none"/>
          <w:lang w:val="en-US" w:eastAsia="zh-CN"/>
        </w:rPr>
        <w:t>Ⅲ</w:t>
      </w:r>
      <w:r>
        <w:rPr>
          <w:color w:val="auto"/>
          <w:highlight w:val="none"/>
        </w:rPr>
        <w:t>类标准。</w:t>
      </w:r>
    </w:p>
    <w:p>
      <w:pPr>
        <w:pStyle w:val="7"/>
        <w:bidi w:val="0"/>
        <w:rPr>
          <w:color w:val="auto"/>
          <w:highlight w:val="none"/>
        </w:rPr>
      </w:pPr>
      <w:bookmarkStart w:id="1255" w:name="_Toc8243"/>
      <w:r>
        <w:rPr>
          <w:color w:val="auto"/>
          <w:highlight w:val="none"/>
        </w:rPr>
        <w:t>9.2.4</w:t>
      </w:r>
      <w:r>
        <w:rPr>
          <w:rFonts w:hint="eastAsia"/>
          <w:color w:val="auto"/>
          <w:highlight w:val="none"/>
          <w:lang w:val="en-US" w:eastAsia="zh-CN"/>
        </w:rPr>
        <w:t>土壤</w:t>
      </w:r>
      <w:r>
        <w:rPr>
          <w:color w:val="auto"/>
          <w:highlight w:val="none"/>
        </w:rPr>
        <w:t>现状评价结论</w:t>
      </w:r>
      <w:bookmarkEnd w:id="1255"/>
    </w:p>
    <w:p>
      <w:pPr>
        <w:bidi w:val="0"/>
        <w:rPr>
          <w:color w:val="auto"/>
          <w:highlight w:val="none"/>
        </w:rPr>
      </w:pPr>
      <w:r>
        <w:rPr>
          <w:rFonts w:hint="eastAsia"/>
          <w:color w:val="auto"/>
          <w:highlight w:val="none"/>
          <w:lang w:val="en-US" w:eastAsia="zh-CN"/>
        </w:rPr>
        <w:t>根据</w:t>
      </w:r>
      <w:r>
        <w:rPr>
          <w:color w:val="auto"/>
          <w:highlight w:val="none"/>
        </w:rPr>
        <w:t>监测结果表明，项目厂区内</w:t>
      </w:r>
      <w:r>
        <w:rPr>
          <w:rFonts w:hint="eastAsia"/>
          <w:color w:val="auto"/>
          <w:highlight w:val="none"/>
          <w:lang w:val="en-US" w:eastAsia="zh-CN"/>
        </w:rPr>
        <w:t>及厂区外</w:t>
      </w:r>
      <w:r>
        <w:rPr>
          <w:color w:val="auto"/>
          <w:highlight w:val="none"/>
        </w:rPr>
        <w:t>各测点位的土壤监测因子均符合《土壤环境质量建设用地土壤污染风险管控标准</w:t>
      </w:r>
      <w:r>
        <w:rPr>
          <w:rFonts w:hint="eastAsia"/>
          <w:color w:val="auto"/>
          <w:highlight w:val="none"/>
          <w:lang w:eastAsia="zh-CN"/>
        </w:rPr>
        <w:t>（</w:t>
      </w:r>
      <w:r>
        <w:rPr>
          <w:color w:val="auto"/>
          <w:highlight w:val="none"/>
        </w:rPr>
        <w:t>试行）》GB36600-2018第二类用地筛选值标准；</w:t>
      </w:r>
    </w:p>
    <w:p>
      <w:pPr>
        <w:bidi w:val="0"/>
        <w:rPr>
          <w:color w:val="auto"/>
          <w:highlight w:val="none"/>
        </w:rPr>
      </w:pPr>
      <w:r>
        <w:rPr>
          <w:color w:val="auto"/>
          <w:highlight w:val="none"/>
        </w:rPr>
        <w:t>综上，项目厂区及周边土壤环境质量现状较好。</w:t>
      </w:r>
    </w:p>
    <w:p>
      <w:pPr>
        <w:pStyle w:val="7"/>
        <w:bidi w:val="0"/>
        <w:rPr>
          <w:color w:val="auto"/>
          <w:highlight w:val="none"/>
        </w:rPr>
      </w:pPr>
      <w:bookmarkStart w:id="1256" w:name="_Toc2622"/>
      <w:r>
        <w:rPr>
          <w:color w:val="auto"/>
          <w:highlight w:val="none"/>
        </w:rPr>
        <w:t>9.2.</w:t>
      </w:r>
      <w:r>
        <w:rPr>
          <w:rFonts w:hint="eastAsia"/>
          <w:color w:val="auto"/>
          <w:highlight w:val="none"/>
          <w:lang w:val="en-US" w:eastAsia="zh-CN"/>
        </w:rPr>
        <w:t>5</w:t>
      </w:r>
      <w:r>
        <w:rPr>
          <w:color w:val="auto"/>
          <w:highlight w:val="none"/>
        </w:rPr>
        <w:t>噪声现状评价结论</w:t>
      </w:r>
      <w:bookmarkEnd w:id="1256"/>
    </w:p>
    <w:p>
      <w:pPr>
        <w:bidi w:val="0"/>
        <w:rPr>
          <w:color w:val="auto"/>
          <w:highlight w:val="none"/>
        </w:rPr>
      </w:pPr>
      <w:r>
        <w:rPr>
          <w:color w:val="auto"/>
          <w:highlight w:val="none"/>
        </w:rPr>
        <w:t>噪声昼间在</w:t>
      </w:r>
      <w:r>
        <w:rPr>
          <w:rFonts w:hint="eastAsia"/>
          <w:color w:val="auto"/>
          <w:highlight w:val="none"/>
          <w:lang w:val="en-US" w:eastAsia="zh-CN"/>
        </w:rPr>
        <w:t>51.3-55.3</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之间，夜间在</w:t>
      </w:r>
      <w:r>
        <w:rPr>
          <w:rFonts w:hint="eastAsia"/>
          <w:color w:val="auto"/>
          <w:highlight w:val="none"/>
          <w:lang w:val="en-US" w:eastAsia="zh-CN"/>
        </w:rPr>
        <w:t>40.6-45.7</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之间，本项目厂界满足《声环境质量标准》</w:t>
      </w:r>
      <w:r>
        <w:rPr>
          <w:rFonts w:hint="eastAsia"/>
          <w:color w:val="auto"/>
          <w:highlight w:val="none"/>
          <w:lang w:eastAsia="zh-CN"/>
        </w:rPr>
        <w:t>（</w:t>
      </w:r>
      <w:r>
        <w:rPr>
          <w:color w:val="auto"/>
          <w:highlight w:val="none"/>
        </w:rPr>
        <w:t>GB3096-2008）中的</w:t>
      </w:r>
      <w:r>
        <w:rPr>
          <w:rFonts w:hint="eastAsia"/>
          <w:color w:val="auto"/>
          <w:highlight w:val="none"/>
          <w:lang w:val="en-US" w:eastAsia="zh-CN"/>
        </w:rPr>
        <w:t>3</w:t>
      </w:r>
      <w:r>
        <w:rPr>
          <w:color w:val="auto"/>
          <w:highlight w:val="none"/>
        </w:rPr>
        <w:t>类标准：昼间6</w:t>
      </w:r>
      <w:r>
        <w:rPr>
          <w:rFonts w:hint="eastAsia"/>
          <w:color w:val="auto"/>
          <w:highlight w:val="none"/>
          <w:lang w:val="en-US" w:eastAsia="zh-CN"/>
        </w:rPr>
        <w:t>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，夜间5</w:t>
      </w:r>
      <w:r>
        <w:rPr>
          <w:rFonts w:hint="eastAsia"/>
          <w:color w:val="auto"/>
          <w:highlight w:val="none"/>
          <w:lang w:val="en-US" w:eastAsia="zh-CN"/>
        </w:rPr>
        <w:t>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w:t>
      </w:r>
    </w:p>
    <w:p>
      <w:pPr>
        <w:pStyle w:val="6"/>
        <w:bidi w:val="0"/>
        <w:rPr>
          <w:color w:val="auto"/>
          <w:highlight w:val="none"/>
        </w:rPr>
      </w:pPr>
      <w:bookmarkStart w:id="1257" w:name="_Toc24070"/>
      <w:bookmarkStart w:id="1258" w:name="_Toc24615"/>
      <w:r>
        <w:rPr>
          <w:color w:val="auto"/>
          <w:highlight w:val="none"/>
        </w:rPr>
        <w:t>9.3污染物排放情况</w:t>
      </w:r>
      <w:bookmarkEnd w:id="1257"/>
      <w:bookmarkEnd w:id="1258"/>
    </w:p>
    <w:p>
      <w:pPr>
        <w:pStyle w:val="7"/>
        <w:bidi w:val="0"/>
        <w:rPr>
          <w:color w:val="auto"/>
          <w:highlight w:val="none"/>
        </w:rPr>
      </w:pPr>
      <w:bookmarkStart w:id="1259" w:name="_Toc7711"/>
      <w:r>
        <w:rPr>
          <w:color w:val="auto"/>
          <w:highlight w:val="none"/>
        </w:rPr>
        <w:t>9.3.1废水</w:t>
      </w:r>
      <w:bookmarkEnd w:id="1259"/>
    </w:p>
    <w:p>
      <w:pPr>
        <w:bidi w:val="0"/>
        <w:spacing w:line="500" w:lineRule="exact"/>
        <w:ind w:firstLine="480" w:firstLineChars="200"/>
        <w:rPr>
          <w:rFonts w:hint="eastAsia" w:cs="Times New Roman"/>
          <w:color w:val="auto"/>
          <w:sz w:val="24"/>
          <w:highlight w:val="none"/>
          <w:lang w:eastAsia="zh-CN"/>
        </w:rPr>
      </w:pPr>
      <w:r>
        <w:rPr>
          <w:color w:val="auto"/>
          <w:highlight w:val="none"/>
        </w:rPr>
        <w:t>本项目生产过程中产生的废水主要是斜筛脱水机脱下的水、网下、压榨脱下的水和锅炉排水，本项目</w:t>
      </w:r>
      <w:r>
        <w:rPr>
          <w:rFonts w:hint="eastAsia"/>
          <w:color w:val="auto"/>
          <w:highlight w:val="none"/>
        </w:rPr>
        <w:t>以漂白针叶木浆和</w:t>
      </w:r>
      <w:r>
        <w:rPr>
          <w:rFonts w:hint="eastAsia"/>
          <w:color w:val="auto"/>
          <w:highlight w:val="none"/>
          <w:lang w:eastAsia="zh-CN"/>
        </w:rPr>
        <w:t>木浆成份纸板</w:t>
      </w:r>
      <w:r>
        <w:rPr>
          <w:rFonts w:hint="eastAsia"/>
          <w:color w:val="auto"/>
          <w:highlight w:val="none"/>
        </w:rPr>
        <w:t>为原料</w:t>
      </w:r>
      <w:r>
        <w:rPr>
          <w:rFonts w:hint="eastAsia"/>
          <w:color w:val="auto"/>
          <w:highlight w:val="none"/>
          <w:lang w:eastAsia="zh-CN"/>
        </w:rPr>
        <w:t>，</w:t>
      </w:r>
      <w:r>
        <w:rPr>
          <w:color w:val="auto"/>
          <w:highlight w:val="none"/>
        </w:rPr>
        <w:t>生产废水主要成分为原料带入的细沙、泥土等无机物，有机物含量较少</w:t>
      </w:r>
      <w:r>
        <w:rPr>
          <w:rFonts w:hint="eastAsia"/>
          <w:color w:val="auto"/>
          <w:highlight w:val="none"/>
          <w:lang w:eastAsia="zh-CN"/>
        </w:rPr>
        <w:t>。</w:t>
      </w:r>
      <w:r>
        <w:rPr>
          <w:color w:val="auto"/>
          <w:highlight w:val="none"/>
        </w:rPr>
        <w:t>本项目采用</w:t>
      </w:r>
      <w:r>
        <w:rPr>
          <w:rFonts w:hint="eastAsia"/>
          <w:color w:val="auto"/>
          <w:highlight w:val="none"/>
          <w:lang w:eastAsia="zh-CN"/>
        </w:rPr>
        <w:t>沉淀</w:t>
      </w:r>
      <w:r>
        <w:rPr>
          <w:rFonts w:hint="eastAsia"/>
          <w:color w:val="auto"/>
          <w:highlight w:val="none"/>
          <w:lang w:val="en-US" w:eastAsia="zh-CN"/>
        </w:rPr>
        <w:t>+A/O生化+气浮</w:t>
      </w:r>
      <w:r>
        <w:rPr>
          <w:color w:val="auto"/>
          <w:highlight w:val="none"/>
        </w:rPr>
        <w:t>对污水进行处理，</w:t>
      </w:r>
      <w:r>
        <w:rPr>
          <w:rFonts w:hint="eastAsia"/>
          <w:color w:val="auto"/>
          <w:highlight w:val="none"/>
          <w:lang w:eastAsia="zh-CN"/>
        </w:rPr>
        <w:t>经处理后</w:t>
      </w:r>
      <w:r>
        <w:rPr>
          <w:color w:val="auto"/>
          <w:highlight w:val="none"/>
        </w:rPr>
        <w:t>回用于生产，不排入地表水体。</w:t>
      </w:r>
      <w:r>
        <w:rPr>
          <w:rFonts w:ascii="Times New Roman" w:hAnsi="Times New Roman" w:eastAsia="宋体" w:cs="Times New Roman"/>
          <w:color w:val="auto"/>
          <w:sz w:val="24"/>
          <w:highlight w:val="none"/>
        </w:rPr>
        <w:t>生活污水</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p>
    <w:p>
      <w:pPr>
        <w:pStyle w:val="7"/>
        <w:bidi w:val="0"/>
        <w:rPr>
          <w:color w:val="auto"/>
          <w:highlight w:val="none"/>
        </w:rPr>
      </w:pPr>
      <w:bookmarkStart w:id="1260" w:name="_Toc6133"/>
      <w:r>
        <w:rPr>
          <w:color w:val="auto"/>
          <w:highlight w:val="none"/>
        </w:rPr>
        <w:t>9.3.2废气</w:t>
      </w:r>
      <w:bookmarkEnd w:id="1260"/>
    </w:p>
    <w:p>
      <w:pPr>
        <w:bidi w:val="0"/>
        <w:rPr>
          <w:color w:val="auto"/>
          <w:sz w:val="24"/>
          <w:highlight w:val="none"/>
        </w:rPr>
      </w:pPr>
      <w:r>
        <w:rPr>
          <w:color w:val="auto"/>
          <w:sz w:val="24"/>
          <w:highlight w:val="none"/>
        </w:rPr>
        <w:t>本项目设置一台</w:t>
      </w:r>
      <w:r>
        <w:rPr>
          <w:rFonts w:hint="eastAsia"/>
          <w:color w:val="auto"/>
          <w:sz w:val="24"/>
          <w:highlight w:val="none"/>
          <w:lang w:val="en-US" w:eastAsia="zh-CN"/>
        </w:rPr>
        <w:t>6t/h生物质</w:t>
      </w:r>
      <w:r>
        <w:rPr>
          <w:color w:val="auto"/>
          <w:sz w:val="24"/>
          <w:highlight w:val="none"/>
        </w:rPr>
        <w:t>蒸汽锅炉，生产及冬季生活用热均由天然气锅炉提供，年耗</w:t>
      </w:r>
      <w:r>
        <w:rPr>
          <w:rFonts w:hint="eastAsia"/>
          <w:color w:val="auto"/>
          <w:sz w:val="24"/>
          <w:highlight w:val="none"/>
          <w:lang w:val="en-US" w:eastAsia="zh-CN"/>
        </w:rPr>
        <w:t>生物质颗粒4165t/a</w:t>
      </w:r>
      <w:r>
        <w:rPr>
          <w:color w:val="auto"/>
          <w:sz w:val="24"/>
          <w:highlight w:val="none"/>
        </w:rPr>
        <w:t>，锅炉烟气经</w:t>
      </w:r>
      <w:r>
        <w:rPr>
          <w:rFonts w:hint="eastAsia"/>
          <w:color w:val="auto"/>
          <w:sz w:val="24"/>
          <w:highlight w:val="none"/>
          <w:lang w:val="en-US" w:eastAsia="zh-CN"/>
        </w:rPr>
        <w:t>3</w:t>
      </w:r>
      <w:r>
        <w:rPr>
          <w:color w:val="auto"/>
          <w:sz w:val="24"/>
          <w:highlight w:val="none"/>
        </w:rPr>
        <w:t>5m高排气筒排放，排放浓度满足</w:t>
      </w:r>
      <w:r>
        <w:rPr>
          <w:rFonts w:hint="eastAsia"/>
          <w:color w:val="auto"/>
          <w:sz w:val="24"/>
          <w:highlight w:val="none"/>
        </w:rPr>
        <w:t>《锅炉大气污染物排放标准》（GB13271-2014）中的表2新建锅炉大气标准要求</w:t>
      </w:r>
      <w:r>
        <w:rPr>
          <w:color w:val="auto"/>
          <w:sz w:val="24"/>
          <w:highlight w:val="none"/>
        </w:rPr>
        <w:t>；</w:t>
      </w:r>
      <w:r>
        <w:rPr>
          <w:rFonts w:hint="eastAsia"/>
          <w:color w:val="auto"/>
          <w:sz w:val="24"/>
          <w:highlight w:val="none"/>
          <w:lang w:val="en-US" w:eastAsia="zh-CN"/>
        </w:rPr>
        <w:t>烟囱</w:t>
      </w:r>
      <w:r>
        <w:rPr>
          <w:color w:val="auto"/>
          <w:sz w:val="24"/>
          <w:highlight w:val="none"/>
        </w:rPr>
        <w:t>高于周围半径200m距离内最高建筑物3m以上。</w:t>
      </w:r>
    </w:p>
    <w:p>
      <w:pPr>
        <w:bidi w:val="0"/>
        <w:rPr>
          <w:color w:val="auto"/>
          <w:sz w:val="24"/>
          <w:highlight w:val="none"/>
        </w:rPr>
      </w:pPr>
      <w:r>
        <w:rPr>
          <w:rFonts w:hint="eastAsia"/>
          <w:color w:val="auto"/>
          <w:sz w:val="24"/>
          <w:highlight w:val="none"/>
          <w:lang w:eastAsia="zh-CN"/>
        </w:rPr>
        <w:t>污水处理站废气经负压集气</w:t>
      </w:r>
      <w:r>
        <w:rPr>
          <w:rFonts w:hint="eastAsia"/>
          <w:color w:val="auto"/>
          <w:sz w:val="24"/>
          <w:highlight w:val="none"/>
          <w:lang w:val="en-US" w:eastAsia="zh-CN"/>
        </w:rPr>
        <w:t>+活性炭吸附+15米高排气筒排放，有组织废气排放口NH</w:t>
      </w:r>
      <w:r>
        <w:rPr>
          <w:rFonts w:hint="eastAsia"/>
          <w:color w:val="auto"/>
          <w:sz w:val="24"/>
          <w:highlight w:val="none"/>
          <w:vertAlign w:val="subscript"/>
          <w:lang w:val="en-US" w:eastAsia="zh-CN"/>
        </w:rPr>
        <w:t>3</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S、臭气浓度能够满足《恶臭污染物排放标准》（GB14554-93）表2恶臭污染物排放标准值。</w:t>
      </w:r>
      <w:r>
        <w:rPr>
          <w:color w:val="auto"/>
          <w:sz w:val="24"/>
          <w:highlight w:val="none"/>
        </w:rPr>
        <w:t>污水处理站封闭，及时清掏污泥、加强厂区绿化，尽量控制无组织气体排放量，经大气稀释扩散后无组织H</w:t>
      </w:r>
      <w:r>
        <w:rPr>
          <w:color w:val="auto"/>
          <w:sz w:val="24"/>
          <w:highlight w:val="none"/>
          <w:vertAlign w:val="subscript"/>
        </w:rPr>
        <w:t>2</w:t>
      </w:r>
      <w:r>
        <w:rPr>
          <w:color w:val="auto"/>
          <w:sz w:val="24"/>
          <w:highlight w:val="none"/>
        </w:rPr>
        <w:t>S、NH</w:t>
      </w:r>
      <w:r>
        <w:rPr>
          <w:color w:val="auto"/>
          <w:sz w:val="24"/>
          <w:highlight w:val="none"/>
          <w:vertAlign w:val="subscript"/>
        </w:rPr>
        <w:t>3</w:t>
      </w:r>
      <w:r>
        <w:rPr>
          <w:color w:val="auto"/>
          <w:sz w:val="24"/>
          <w:highlight w:val="none"/>
        </w:rPr>
        <w:t>、臭气浓度可满足《恶臭污染物排放标准》</w:t>
      </w:r>
      <w:r>
        <w:rPr>
          <w:rFonts w:hint="eastAsia"/>
          <w:color w:val="auto"/>
          <w:sz w:val="24"/>
          <w:highlight w:val="none"/>
          <w:lang w:eastAsia="zh-CN"/>
        </w:rPr>
        <w:t>（</w:t>
      </w:r>
      <w:r>
        <w:rPr>
          <w:color w:val="auto"/>
          <w:sz w:val="24"/>
          <w:highlight w:val="none"/>
        </w:rPr>
        <w:t>GB14554-93）表1中二级新扩改建标准恶臭污染物厂界标准限值要求。</w:t>
      </w:r>
    </w:p>
    <w:p>
      <w:pPr>
        <w:pStyle w:val="7"/>
        <w:bidi w:val="0"/>
        <w:rPr>
          <w:color w:val="auto"/>
          <w:highlight w:val="none"/>
        </w:rPr>
      </w:pPr>
      <w:bookmarkStart w:id="1261" w:name="_Toc30406"/>
      <w:r>
        <w:rPr>
          <w:color w:val="auto"/>
          <w:highlight w:val="none"/>
        </w:rPr>
        <w:t>9.3.3噪声</w:t>
      </w:r>
      <w:bookmarkEnd w:id="1261"/>
    </w:p>
    <w:p>
      <w:pPr>
        <w:bidi w:val="0"/>
        <w:rPr>
          <w:color w:val="auto"/>
          <w:highlight w:val="none"/>
        </w:rPr>
      </w:pPr>
      <w:r>
        <w:rPr>
          <w:color w:val="auto"/>
          <w:highlight w:val="none"/>
        </w:rPr>
        <w:t>本项目噪声污染源主要为生产车间的碎浆机、磨浆机、锅炉房风机等设备，其噪声源强在70-</w:t>
      </w:r>
      <w:r>
        <w:rPr>
          <w:rFonts w:hint="eastAsia"/>
          <w:color w:val="auto"/>
          <w:highlight w:val="none"/>
          <w:lang w:val="en-US" w:eastAsia="zh-CN"/>
        </w:rPr>
        <w:t>85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之</w:t>
      </w:r>
      <w:r>
        <w:rPr>
          <w:color w:val="auto"/>
          <w:highlight w:val="none"/>
        </w:rPr>
        <w:t>间。</w:t>
      </w:r>
    </w:p>
    <w:p>
      <w:pPr>
        <w:pStyle w:val="7"/>
        <w:bidi w:val="0"/>
        <w:rPr>
          <w:color w:val="auto"/>
          <w:highlight w:val="none"/>
        </w:rPr>
      </w:pPr>
      <w:bookmarkStart w:id="1262" w:name="_Toc17738"/>
      <w:r>
        <w:rPr>
          <w:color w:val="auto"/>
          <w:highlight w:val="none"/>
        </w:rPr>
        <w:t>9.3.4固体废物</w:t>
      </w:r>
      <w:bookmarkEnd w:id="1262"/>
    </w:p>
    <w:p>
      <w:pPr>
        <w:bidi w:val="0"/>
        <w:rPr>
          <w:rFonts w:hint="default"/>
          <w:color w:val="auto"/>
          <w:highlight w:val="none"/>
          <w:lang w:val="en-US" w:eastAsia="zh-CN"/>
        </w:rPr>
      </w:pPr>
      <w:r>
        <w:rPr>
          <w:color w:val="auto"/>
          <w:highlight w:val="none"/>
        </w:rPr>
        <w:t>本项目运营期固体废物为</w:t>
      </w:r>
      <w:r>
        <w:rPr>
          <w:rFonts w:hint="eastAsia"/>
          <w:color w:val="auto"/>
          <w:highlight w:val="none"/>
        </w:rPr>
        <w:t>浆料分离产生的杂质、污水处理站固体废物、燃料灰渣、锅炉炉渣和捕集到的飞灰、废离子交换树脂、废润滑油，废</w:t>
      </w:r>
      <w:r>
        <w:rPr>
          <w:rFonts w:hint="eastAsia"/>
          <w:color w:val="auto"/>
          <w:highlight w:val="none"/>
          <w:lang w:eastAsia="zh-CN"/>
        </w:rPr>
        <w:t>活性炭。</w:t>
      </w:r>
      <w:r>
        <w:rPr>
          <w:rFonts w:hint="eastAsia"/>
          <w:color w:val="auto"/>
          <w:highlight w:val="none"/>
          <w:lang w:val="en-US" w:eastAsia="zh-CN"/>
        </w:rPr>
        <w:t>其中杂质335t/a；污泥765；锅炉灰渣</w:t>
      </w:r>
      <w:r>
        <w:rPr>
          <w:rFonts w:hint="eastAsia" w:cs="Times New Roman"/>
          <w:color w:val="auto"/>
          <w:sz w:val="24"/>
          <w:highlight w:val="none"/>
          <w:lang w:val="en-US" w:eastAsia="zh-CN"/>
        </w:rPr>
        <w:t>138.58</w:t>
      </w:r>
      <w:r>
        <w:rPr>
          <w:rFonts w:hint="eastAsia"/>
          <w:color w:val="auto"/>
          <w:highlight w:val="none"/>
          <w:lang w:val="en-US" w:eastAsia="zh-CN"/>
        </w:rPr>
        <w:t>t/a；</w:t>
      </w:r>
      <w:r>
        <w:rPr>
          <w:rFonts w:hint="eastAsia"/>
          <w:color w:val="auto"/>
          <w:highlight w:val="none"/>
          <w:lang w:eastAsia="zh-CN"/>
        </w:rPr>
        <w:t>废离子交换树脂</w:t>
      </w:r>
      <w:r>
        <w:rPr>
          <w:rFonts w:hint="eastAsia"/>
          <w:color w:val="auto"/>
          <w:highlight w:val="none"/>
          <w:lang w:val="en-US" w:eastAsia="zh-CN"/>
        </w:rPr>
        <w:t>0.1t/a；</w:t>
      </w:r>
      <w:r>
        <w:rPr>
          <w:rFonts w:hint="eastAsia"/>
          <w:color w:val="auto"/>
          <w:highlight w:val="none"/>
          <w:lang w:eastAsia="zh-CN"/>
        </w:rPr>
        <w:t>废</w:t>
      </w:r>
      <w:r>
        <w:rPr>
          <w:rFonts w:hint="eastAsia"/>
          <w:color w:val="auto"/>
          <w:highlight w:val="none"/>
          <w:lang w:val="en-US" w:eastAsia="zh-CN"/>
        </w:rPr>
        <w:t>润滑油0.1t/a；废活性炭1.2t/a</w:t>
      </w:r>
    </w:p>
    <w:p>
      <w:pPr>
        <w:pStyle w:val="6"/>
        <w:bidi w:val="0"/>
        <w:rPr>
          <w:color w:val="auto"/>
          <w:highlight w:val="none"/>
        </w:rPr>
      </w:pPr>
      <w:bookmarkStart w:id="1263" w:name="_Toc2141"/>
      <w:bookmarkStart w:id="1264" w:name="_Toc26891"/>
      <w:r>
        <w:rPr>
          <w:color w:val="auto"/>
          <w:highlight w:val="none"/>
        </w:rPr>
        <w:t>9.4环境保护措施</w:t>
      </w:r>
      <w:bookmarkEnd w:id="1263"/>
      <w:bookmarkEnd w:id="1264"/>
    </w:p>
    <w:p>
      <w:pPr>
        <w:pStyle w:val="7"/>
        <w:bidi w:val="0"/>
        <w:rPr>
          <w:color w:val="auto"/>
          <w:highlight w:val="none"/>
        </w:rPr>
      </w:pPr>
      <w:bookmarkStart w:id="1265" w:name="_Toc8015"/>
      <w:r>
        <w:rPr>
          <w:color w:val="auto"/>
          <w:highlight w:val="none"/>
        </w:rPr>
        <w:t>9.4.1水污染防治措施</w:t>
      </w:r>
      <w:bookmarkEnd w:id="1265"/>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9.4.1.1废水污染防治措施</w:t>
      </w:r>
    </w:p>
    <w:p>
      <w:pPr>
        <w:bidi w:val="0"/>
        <w:jc w:val="both"/>
        <w:rPr>
          <w:color w:val="auto"/>
          <w:highlight w:val="none"/>
        </w:rPr>
      </w:pPr>
      <w:r>
        <w:rPr>
          <w:color w:val="auto"/>
          <w:highlight w:val="none"/>
        </w:rPr>
        <w:t>生产过程中产生的废水主要是斜筛脱水机脱下的水、网下、压榨脱下的水和锅炉排水，本项目</w:t>
      </w:r>
      <w:r>
        <w:rPr>
          <w:rFonts w:hint="eastAsia"/>
          <w:color w:val="auto"/>
          <w:highlight w:val="none"/>
        </w:rPr>
        <w:t>以漂白针叶木浆和</w:t>
      </w:r>
      <w:r>
        <w:rPr>
          <w:rFonts w:hint="eastAsia"/>
          <w:color w:val="auto"/>
          <w:highlight w:val="none"/>
          <w:lang w:eastAsia="zh-CN"/>
        </w:rPr>
        <w:t>木浆成份纸板</w:t>
      </w:r>
      <w:r>
        <w:rPr>
          <w:rFonts w:hint="eastAsia"/>
          <w:color w:val="auto"/>
          <w:highlight w:val="none"/>
        </w:rPr>
        <w:t>为原料，</w:t>
      </w:r>
      <w:r>
        <w:rPr>
          <w:color w:val="auto"/>
          <w:highlight w:val="none"/>
        </w:rPr>
        <w:t>生产废水主要成分为原料带入的细沙、泥土等无机物，有机物含量较少，污染物浓度：COD</w:t>
      </w:r>
      <w:r>
        <w:rPr>
          <w:rFonts w:hint="eastAsia"/>
          <w:color w:val="auto"/>
          <w:highlight w:val="none"/>
          <w:lang w:val="en-US" w:eastAsia="zh-CN"/>
        </w:rPr>
        <w:t>2800</w:t>
      </w:r>
      <w:r>
        <w:rPr>
          <w:color w:val="auto"/>
          <w:highlight w:val="none"/>
        </w:rPr>
        <w:t>mg/L</w:t>
      </w:r>
      <w:r>
        <w:rPr>
          <w:rFonts w:hint="eastAsia"/>
          <w:color w:val="auto"/>
          <w:highlight w:val="none"/>
        </w:rPr>
        <w:t>，</w:t>
      </w:r>
      <w:r>
        <w:rPr>
          <w:color w:val="auto"/>
          <w:highlight w:val="none"/>
        </w:rPr>
        <w:t>BOD</w:t>
      </w:r>
      <w:r>
        <w:rPr>
          <w:rFonts w:hint="eastAsia"/>
          <w:color w:val="auto"/>
          <w:highlight w:val="none"/>
          <w:vertAlign w:val="subscript"/>
          <w:lang w:val="en-US" w:eastAsia="zh-CN"/>
        </w:rPr>
        <w:t>5</w:t>
      </w:r>
      <w:r>
        <w:rPr>
          <w:rFonts w:hint="eastAsia"/>
          <w:color w:val="auto"/>
          <w:highlight w:val="none"/>
          <w:lang w:val="en-US" w:eastAsia="zh-CN"/>
        </w:rPr>
        <w:t>800</w:t>
      </w:r>
      <w:r>
        <w:rPr>
          <w:color w:val="auto"/>
          <w:highlight w:val="none"/>
        </w:rPr>
        <w:t>mg/L</w:t>
      </w:r>
      <w:r>
        <w:rPr>
          <w:rFonts w:hint="eastAsia"/>
          <w:color w:val="auto"/>
          <w:highlight w:val="none"/>
        </w:rPr>
        <w:t>，</w:t>
      </w:r>
      <w:r>
        <w:rPr>
          <w:color w:val="auto"/>
          <w:highlight w:val="none"/>
        </w:rPr>
        <w:t>SS</w:t>
      </w:r>
      <w:r>
        <w:rPr>
          <w:rFonts w:hint="eastAsia"/>
          <w:color w:val="auto"/>
          <w:highlight w:val="none"/>
          <w:lang w:val="en-US" w:eastAsia="zh-CN"/>
        </w:rPr>
        <w:t>1500</w:t>
      </w:r>
      <w:r>
        <w:rPr>
          <w:color w:val="auto"/>
          <w:highlight w:val="none"/>
        </w:rPr>
        <w:t>mg/L，</w:t>
      </w:r>
      <w:r>
        <w:rPr>
          <w:rFonts w:ascii="Times New Roman" w:hAnsi="Times New Roman" w:eastAsia="宋体" w:cs="Times New Roman"/>
          <w:color w:val="auto"/>
          <w:highlight w:val="none"/>
        </w:rPr>
        <w:t>故</w:t>
      </w:r>
      <w:r>
        <w:rPr>
          <w:rFonts w:hint="eastAsia" w:ascii="Times New Roman" w:hAnsi="Times New Roman" w:eastAsia="宋体" w:cs="Times New Roman"/>
          <w:color w:val="auto"/>
          <w:highlight w:val="none"/>
          <w:lang w:eastAsia="zh-CN"/>
        </w:rPr>
        <w:t>采用</w:t>
      </w:r>
      <w:r>
        <w:rPr>
          <w:rFonts w:hint="eastAsia" w:ascii="Times New Roman" w:hAnsi="Times New Roman" w:eastAsia="宋体" w:cs="Times New Roman"/>
          <w:color w:val="auto"/>
          <w:highlight w:val="none"/>
        </w:rPr>
        <w:t>气浮+A/O生化+沉淀工艺对污水进行处理，经处理后再回用于生产工艺</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沉淀污泥经板框压滤后外售砖厂制砖</w:t>
      </w:r>
      <w:r>
        <w:rPr>
          <w:rFonts w:ascii="Times New Roman" w:hAnsi="Times New Roman" w:eastAsia="宋体" w:cs="Times New Roman"/>
          <w:color w:val="auto"/>
          <w:highlight w:val="none"/>
        </w:rPr>
        <w:t>。</w:t>
      </w:r>
      <w:r>
        <w:rPr>
          <w:rFonts w:ascii="Times New Roman" w:hAnsi="Times New Roman" w:eastAsia="宋体" w:cs="Times New Roman"/>
          <w:color w:val="auto"/>
          <w:sz w:val="24"/>
          <w:highlight w:val="none"/>
        </w:rPr>
        <w:t>生活污水</w:t>
      </w:r>
      <w:r>
        <w:rPr>
          <w:rFonts w:hint="eastAsia" w:cs="Times New Roman"/>
          <w:color w:val="auto"/>
          <w:sz w:val="24"/>
          <w:highlight w:val="none"/>
          <w:lang w:val="en-US" w:eastAsia="zh-CN"/>
        </w:rPr>
        <w:t>，</w:t>
      </w:r>
      <w:r>
        <w:rPr>
          <w:rFonts w:hint="eastAsia" w:cs="Times New Roman"/>
          <w:color w:val="auto"/>
          <w:sz w:val="24"/>
          <w:highlight w:val="none"/>
          <w:lang w:eastAsia="zh-CN"/>
        </w:rPr>
        <w:t>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9.4.1.2地下水</w:t>
      </w:r>
      <w:r>
        <w:rPr>
          <w:rFonts w:hint="eastAsia"/>
          <w:b/>
          <w:bCs/>
          <w:color w:val="auto"/>
          <w:highlight w:val="none"/>
          <w:lang w:val="en-US" w:eastAsia="zh-CN"/>
        </w:rPr>
        <w:t>及土壤</w:t>
      </w:r>
      <w:r>
        <w:rPr>
          <w:b/>
          <w:bCs/>
          <w:color w:val="auto"/>
          <w:highlight w:val="none"/>
        </w:rPr>
        <w:t>污染防治措施</w:t>
      </w:r>
    </w:p>
    <w:p>
      <w:pPr>
        <w:bidi w:val="0"/>
        <w:rPr>
          <w:color w:val="auto"/>
          <w:highlight w:val="none"/>
        </w:rPr>
      </w:pPr>
      <w:r>
        <w:rPr>
          <w:color w:val="auto"/>
          <w:highlight w:val="none"/>
        </w:rPr>
        <w:t>本项目地下水和土壤污染防治措施主要为地面防渗措施。按重污染区、一般污染防治区和非污染区进行防渗处理。重污染防治区经防渗处理后渗透系数≤10</w:t>
      </w:r>
      <w:r>
        <w:rPr>
          <w:color w:val="auto"/>
          <w:highlight w:val="none"/>
          <w:vertAlign w:val="superscript"/>
        </w:rPr>
        <w:t>-10</w:t>
      </w:r>
      <w:r>
        <w:rPr>
          <w:color w:val="auto"/>
          <w:highlight w:val="none"/>
        </w:rPr>
        <w:t>cm/s；轻污染区经防渗处理后渗透系数≤10</w:t>
      </w:r>
      <w:r>
        <w:rPr>
          <w:color w:val="auto"/>
          <w:highlight w:val="none"/>
          <w:vertAlign w:val="superscript"/>
        </w:rPr>
        <w:t>-7</w:t>
      </w:r>
      <w:r>
        <w:rPr>
          <w:color w:val="auto"/>
          <w:highlight w:val="none"/>
        </w:rPr>
        <w:t>cm/s；非污染区地面采取10cm厚三合土铺底，再在上层铺15~20cm的水泥进行硬化。</w:t>
      </w:r>
    </w:p>
    <w:p>
      <w:pPr>
        <w:bidi w:val="0"/>
        <w:rPr>
          <w:color w:val="auto"/>
          <w:highlight w:val="none"/>
        </w:rPr>
      </w:pPr>
      <w:r>
        <w:rPr>
          <w:color w:val="auto"/>
          <w:highlight w:val="none"/>
        </w:rPr>
        <w:t>综上所述，认真落实</w:t>
      </w:r>
      <w:r>
        <w:rPr>
          <w:rFonts w:hint="eastAsia"/>
          <w:color w:val="auto"/>
          <w:highlight w:val="none"/>
          <w:lang w:eastAsia="zh-CN"/>
        </w:rPr>
        <w:t>“</w:t>
      </w:r>
      <w:r>
        <w:rPr>
          <w:color w:val="auto"/>
          <w:highlight w:val="none"/>
        </w:rPr>
        <w:t>源头控制、分区防控、污染监控、应急响应</w:t>
      </w:r>
      <w:r>
        <w:rPr>
          <w:rFonts w:hint="eastAsia"/>
          <w:color w:val="auto"/>
          <w:highlight w:val="none"/>
          <w:lang w:eastAsia="zh-CN"/>
        </w:rPr>
        <w:t>”</w:t>
      </w:r>
      <w:r>
        <w:rPr>
          <w:color w:val="auto"/>
          <w:highlight w:val="none"/>
        </w:rPr>
        <w:t>措施，项目建成后不会对地下水产生影响。</w:t>
      </w:r>
    </w:p>
    <w:p>
      <w:pPr>
        <w:pStyle w:val="7"/>
        <w:bidi w:val="0"/>
        <w:rPr>
          <w:color w:val="auto"/>
          <w:highlight w:val="none"/>
        </w:rPr>
      </w:pPr>
      <w:bookmarkStart w:id="1266" w:name="_Toc27033"/>
      <w:r>
        <w:rPr>
          <w:color w:val="auto"/>
          <w:highlight w:val="none"/>
        </w:rPr>
        <w:t>9.4.2废气污染防治措施</w:t>
      </w:r>
      <w:bookmarkEnd w:id="1266"/>
    </w:p>
    <w:p>
      <w:pPr>
        <w:bidi w:val="0"/>
        <w:rPr>
          <w:color w:val="auto"/>
          <w:highlight w:val="none"/>
        </w:rPr>
      </w:pPr>
      <w:r>
        <w:rPr>
          <w:color w:val="auto"/>
          <w:highlight w:val="none"/>
        </w:rPr>
        <w:t>本项目设置一台</w:t>
      </w:r>
      <w:r>
        <w:rPr>
          <w:rFonts w:hint="eastAsia"/>
          <w:color w:val="auto"/>
          <w:highlight w:val="none"/>
          <w:lang w:val="en-US" w:eastAsia="zh-CN"/>
        </w:rPr>
        <w:t>6t/h生物质</w:t>
      </w:r>
      <w:r>
        <w:rPr>
          <w:color w:val="auto"/>
          <w:highlight w:val="none"/>
        </w:rPr>
        <w:t>蒸汽锅炉，生产及冬季生活用热均由</w:t>
      </w:r>
      <w:r>
        <w:rPr>
          <w:rFonts w:hint="eastAsia"/>
          <w:color w:val="auto"/>
          <w:highlight w:val="none"/>
          <w:lang w:val="en-US" w:eastAsia="zh-CN"/>
        </w:rPr>
        <w:t>生物质</w:t>
      </w:r>
      <w:r>
        <w:rPr>
          <w:color w:val="auto"/>
          <w:highlight w:val="none"/>
        </w:rPr>
        <w:t>锅炉提供，年耗</w:t>
      </w:r>
      <w:r>
        <w:rPr>
          <w:rFonts w:hint="eastAsia"/>
          <w:color w:val="auto"/>
          <w:highlight w:val="none"/>
          <w:lang w:val="en-US" w:eastAsia="zh-CN"/>
        </w:rPr>
        <w:t>生物质燃料4165t</w:t>
      </w:r>
      <w:r>
        <w:rPr>
          <w:color w:val="auto"/>
          <w:highlight w:val="none"/>
        </w:rPr>
        <w:t>，锅炉烟气经</w:t>
      </w:r>
      <w:r>
        <w:rPr>
          <w:rFonts w:hint="eastAsia"/>
          <w:color w:val="auto"/>
          <w:highlight w:val="none"/>
          <w:lang w:val="en-US" w:eastAsia="zh-CN"/>
        </w:rPr>
        <w:t>3</w:t>
      </w:r>
      <w:r>
        <w:rPr>
          <w:color w:val="auto"/>
          <w:highlight w:val="none"/>
        </w:rPr>
        <w:t>5m高排气筒排放，锅炉大气污染物排放浓度满足</w:t>
      </w:r>
      <w:r>
        <w:rPr>
          <w:rFonts w:hint="eastAsia"/>
          <w:color w:val="auto"/>
          <w:highlight w:val="none"/>
        </w:rPr>
        <w:t>《锅炉大气污染物排放标准》（GB13271-2014）中的表2新建锅炉大气标准要求</w:t>
      </w:r>
      <w:r>
        <w:rPr>
          <w:color w:val="auto"/>
          <w:highlight w:val="none"/>
        </w:rPr>
        <w:t>；</w:t>
      </w:r>
      <w:r>
        <w:rPr>
          <w:rFonts w:hint="eastAsia"/>
          <w:color w:val="auto"/>
          <w:highlight w:val="none"/>
        </w:rPr>
        <w:t>烟囱高度执行燃煤锅炉房烟囱最低允许高度35m，并高于周围半径200m距离内最高建筑物3m以上</w:t>
      </w:r>
      <w:r>
        <w:rPr>
          <w:color w:val="auto"/>
          <w:highlight w:val="none"/>
        </w:rPr>
        <w:t>。</w:t>
      </w:r>
    </w:p>
    <w:p>
      <w:pPr>
        <w:bidi w:val="0"/>
        <w:rPr>
          <w:color w:val="auto"/>
          <w:highlight w:val="none"/>
        </w:rPr>
      </w:pPr>
      <w:r>
        <w:rPr>
          <w:rFonts w:hint="eastAsia"/>
          <w:color w:val="auto"/>
          <w:highlight w:val="none"/>
          <w:lang w:eastAsia="zh-CN"/>
        </w:rPr>
        <w:t>污水处理站废气经负压集气</w:t>
      </w:r>
      <w:r>
        <w:rPr>
          <w:rFonts w:hint="eastAsia"/>
          <w:color w:val="auto"/>
          <w:highlight w:val="none"/>
          <w:lang w:val="en-US" w:eastAsia="zh-CN"/>
        </w:rPr>
        <w:t>+活性炭吸附+15米高排气筒排放，有组织废气排放口NH</w:t>
      </w:r>
      <w:r>
        <w:rPr>
          <w:rFonts w:hint="eastAsia"/>
          <w:color w:val="auto"/>
          <w:highlight w:val="none"/>
          <w:vertAlign w:val="subscript"/>
          <w:lang w:val="en-US" w:eastAsia="zh-CN"/>
        </w:rPr>
        <w:t>3</w:t>
      </w:r>
      <w:r>
        <w:rPr>
          <w:rFonts w:hint="eastAsia"/>
          <w:color w:val="auto"/>
          <w:highlight w:val="none"/>
          <w:lang w:val="en-US" w:eastAsia="zh-CN"/>
        </w:rPr>
        <w:t>、H</w:t>
      </w:r>
      <w:r>
        <w:rPr>
          <w:rFonts w:hint="eastAsia"/>
          <w:color w:val="auto"/>
          <w:highlight w:val="none"/>
          <w:vertAlign w:val="subscript"/>
          <w:lang w:val="en-US" w:eastAsia="zh-CN"/>
        </w:rPr>
        <w:t>2</w:t>
      </w:r>
      <w:r>
        <w:rPr>
          <w:rFonts w:hint="eastAsia"/>
          <w:color w:val="auto"/>
          <w:highlight w:val="none"/>
          <w:lang w:val="en-US" w:eastAsia="zh-CN"/>
        </w:rPr>
        <w:t>S、臭气浓度能够满足《恶臭污染物排放标准》（GB14554-93）表2恶臭污染物排放标准值。</w:t>
      </w:r>
      <w:r>
        <w:rPr>
          <w:color w:val="auto"/>
          <w:highlight w:val="none"/>
        </w:rPr>
        <w:t>污水处理站封闭，及时清掏污泥、加强厂区绿化，尽量控制无组织气体排放量，经大气稀释扩散后无组织H</w:t>
      </w:r>
      <w:r>
        <w:rPr>
          <w:color w:val="auto"/>
          <w:highlight w:val="none"/>
          <w:vertAlign w:val="subscript"/>
        </w:rPr>
        <w:t>2</w:t>
      </w:r>
      <w:r>
        <w:rPr>
          <w:color w:val="auto"/>
          <w:highlight w:val="none"/>
        </w:rPr>
        <w:t>S、NH</w:t>
      </w:r>
      <w:r>
        <w:rPr>
          <w:color w:val="auto"/>
          <w:highlight w:val="none"/>
          <w:vertAlign w:val="subscript"/>
        </w:rPr>
        <w:t>3</w:t>
      </w:r>
      <w:r>
        <w:rPr>
          <w:color w:val="auto"/>
          <w:highlight w:val="none"/>
        </w:rPr>
        <w:t>、臭气浓度可满足《恶臭污染物排放标准》</w:t>
      </w:r>
      <w:r>
        <w:rPr>
          <w:rFonts w:hint="eastAsia"/>
          <w:color w:val="auto"/>
          <w:highlight w:val="none"/>
          <w:lang w:eastAsia="zh-CN"/>
        </w:rPr>
        <w:t>（</w:t>
      </w:r>
      <w:r>
        <w:rPr>
          <w:color w:val="auto"/>
          <w:highlight w:val="none"/>
        </w:rPr>
        <w:t>GB14554-93）表1中二级新扩改建标准恶臭污染物厂界标准限值要求。</w:t>
      </w:r>
    </w:p>
    <w:p>
      <w:pPr>
        <w:pStyle w:val="7"/>
        <w:bidi w:val="0"/>
        <w:rPr>
          <w:color w:val="auto"/>
          <w:highlight w:val="none"/>
        </w:rPr>
      </w:pPr>
      <w:bookmarkStart w:id="1267" w:name="_Toc3689"/>
      <w:r>
        <w:rPr>
          <w:color w:val="auto"/>
          <w:highlight w:val="none"/>
        </w:rPr>
        <w:t>9.4.3噪声污染防治措施</w:t>
      </w:r>
      <w:bookmarkEnd w:id="1267"/>
    </w:p>
    <w:p>
      <w:pPr>
        <w:bidi w:val="0"/>
        <w:rPr>
          <w:color w:val="auto"/>
          <w:highlight w:val="none"/>
        </w:rPr>
      </w:pPr>
      <w:r>
        <w:rPr>
          <w:color w:val="auto"/>
          <w:highlight w:val="none"/>
        </w:rPr>
        <w:t>本项目噪声污染源主要为生产车间的碎浆机、磨浆机、锅炉房风机等设备，其噪声源强在70-</w:t>
      </w:r>
      <w:r>
        <w:rPr>
          <w:rFonts w:hint="eastAsia"/>
          <w:color w:val="auto"/>
          <w:highlight w:val="none"/>
          <w:lang w:val="en-US" w:eastAsia="zh-CN"/>
        </w:rPr>
        <w:t>85</w:t>
      </w:r>
      <w:r>
        <w:rPr>
          <w:color w:val="auto"/>
          <w:highlight w:val="none"/>
        </w:rPr>
        <w:t>dB</w:t>
      </w:r>
      <w:r>
        <w:rPr>
          <w:rFonts w:hint="eastAsia"/>
          <w:color w:val="auto"/>
          <w:highlight w:val="none"/>
          <w:lang w:eastAsia="zh-CN"/>
        </w:rPr>
        <w:t>（</w:t>
      </w:r>
      <w:r>
        <w:rPr>
          <w:color w:val="auto"/>
          <w:highlight w:val="none"/>
        </w:rPr>
        <w:t>A）间，采取以下措施：</w:t>
      </w:r>
    </w:p>
    <w:p>
      <w:pPr>
        <w:bidi w:val="0"/>
        <w:rPr>
          <w:color w:val="auto"/>
          <w:highlight w:val="none"/>
        </w:rPr>
      </w:pPr>
      <w:r>
        <w:rPr>
          <w:color w:val="auto"/>
          <w:highlight w:val="none"/>
        </w:rPr>
        <w:fldChar w:fldCharType="begin"/>
      </w:r>
      <w:r>
        <w:rPr>
          <w:color w:val="auto"/>
          <w:highlight w:val="none"/>
        </w:rPr>
        <w:instrText xml:space="preserve"> = 1 \* GB3 </w:instrText>
      </w:r>
      <w:r>
        <w:rPr>
          <w:color w:val="auto"/>
          <w:highlight w:val="none"/>
        </w:rPr>
        <w:fldChar w:fldCharType="separate"/>
      </w:r>
      <w:r>
        <w:rPr>
          <w:color w:val="auto"/>
          <w:highlight w:val="none"/>
        </w:rPr>
        <w:t>①</w:t>
      </w:r>
      <w:r>
        <w:rPr>
          <w:color w:val="auto"/>
          <w:highlight w:val="none"/>
        </w:rPr>
        <w:fldChar w:fldCharType="end"/>
      </w:r>
      <w:r>
        <w:rPr>
          <w:color w:val="auto"/>
          <w:highlight w:val="none"/>
        </w:rPr>
        <w:t>鼓风机</w:t>
      </w:r>
      <w:r>
        <w:rPr>
          <w:rFonts w:hint="eastAsia"/>
          <w:color w:val="auto"/>
          <w:highlight w:val="none"/>
          <w:lang w:eastAsia="zh-CN"/>
        </w:rPr>
        <w:t>、</w:t>
      </w:r>
      <w:r>
        <w:rPr>
          <w:rFonts w:hint="eastAsia"/>
          <w:color w:val="auto"/>
          <w:highlight w:val="none"/>
          <w:lang w:val="en-US" w:eastAsia="zh-CN"/>
        </w:rPr>
        <w:t>机泵</w:t>
      </w:r>
      <w:r>
        <w:rPr>
          <w:color w:val="auto"/>
          <w:highlight w:val="none"/>
        </w:rPr>
        <w:t>等各种设备均置于室内，并且对产生机械噪声的设备进行减振处理，减少设备振动噪声；经采取措施后噪声值可消减约20dB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，减轻噪声对操作人员的危害和对环境的影响。</w:t>
      </w:r>
    </w:p>
    <w:p>
      <w:pPr>
        <w:bidi w:val="0"/>
        <w:rPr>
          <w:color w:val="auto"/>
          <w:highlight w:val="none"/>
        </w:rPr>
      </w:pPr>
      <w:r>
        <w:rPr>
          <w:color w:val="auto"/>
          <w:highlight w:val="none"/>
        </w:rPr>
        <w:fldChar w:fldCharType="begin"/>
      </w:r>
      <w:r>
        <w:rPr>
          <w:color w:val="auto"/>
          <w:highlight w:val="none"/>
        </w:rPr>
        <w:instrText xml:space="preserve"> = 2 \* GB3 </w:instrText>
      </w:r>
      <w:r>
        <w:rPr>
          <w:color w:val="auto"/>
          <w:highlight w:val="none"/>
        </w:rPr>
        <w:fldChar w:fldCharType="separate"/>
      </w:r>
      <w:r>
        <w:rPr>
          <w:color w:val="auto"/>
          <w:highlight w:val="none"/>
        </w:rPr>
        <w:t>②</w:t>
      </w:r>
      <w:r>
        <w:rPr>
          <w:color w:val="auto"/>
          <w:highlight w:val="none"/>
        </w:rPr>
        <w:fldChar w:fldCharType="end"/>
      </w:r>
      <w:r>
        <w:rPr>
          <w:color w:val="auto"/>
          <w:highlight w:val="none"/>
        </w:rPr>
        <w:t>平时加强设备的维护，使设备长期运行在良好状态。</w:t>
      </w:r>
    </w:p>
    <w:p>
      <w:pPr>
        <w:bidi w:val="0"/>
        <w:rPr>
          <w:color w:val="auto"/>
          <w:highlight w:val="none"/>
        </w:rPr>
      </w:pPr>
      <w:r>
        <w:rPr>
          <w:color w:val="auto"/>
          <w:highlight w:val="none"/>
        </w:rPr>
        <w:fldChar w:fldCharType="begin"/>
      </w:r>
      <w:r>
        <w:rPr>
          <w:color w:val="auto"/>
          <w:highlight w:val="none"/>
        </w:rPr>
        <w:instrText xml:space="preserve"> = 3 \* GB3 </w:instrText>
      </w:r>
      <w:r>
        <w:rPr>
          <w:color w:val="auto"/>
          <w:highlight w:val="none"/>
        </w:rPr>
        <w:fldChar w:fldCharType="separate"/>
      </w:r>
      <w:r>
        <w:rPr>
          <w:color w:val="auto"/>
          <w:highlight w:val="none"/>
        </w:rPr>
        <w:t>③</w:t>
      </w:r>
      <w:r>
        <w:rPr>
          <w:color w:val="auto"/>
          <w:highlight w:val="none"/>
        </w:rPr>
        <w:fldChar w:fldCharType="end"/>
      </w:r>
      <w:r>
        <w:rPr>
          <w:color w:val="auto"/>
          <w:highlight w:val="none"/>
        </w:rPr>
        <w:t>在引进设备中，在满足工艺要求的前提下应尽量采用低噪声设备，设备安装中基础应做减振处理，从设备本身降低噪声值，从而减轻对环境的影响。</w:t>
      </w:r>
    </w:p>
    <w:p>
      <w:pPr>
        <w:bidi w:val="0"/>
        <w:rPr>
          <w:color w:val="auto"/>
          <w:highlight w:val="none"/>
        </w:rPr>
      </w:pPr>
      <w:r>
        <w:rPr>
          <w:color w:val="auto"/>
          <w:highlight w:val="none"/>
        </w:rPr>
        <w:fldChar w:fldCharType="begin"/>
      </w:r>
      <w:r>
        <w:rPr>
          <w:color w:val="auto"/>
          <w:highlight w:val="none"/>
        </w:rPr>
        <w:instrText xml:space="preserve"> = 4 \* GB3 </w:instrText>
      </w:r>
      <w:r>
        <w:rPr>
          <w:color w:val="auto"/>
          <w:highlight w:val="none"/>
        </w:rPr>
        <w:fldChar w:fldCharType="separate"/>
      </w:r>
      <w:r>
        <w:rPr>
          <w:color w:val="auto"/>
          <w:highlight w:val="none"/>
        </w:rPr>
        <w:t>④</w:t>
      </w:r>
      <w:r>
        <w:rPr>
          <w:color w:val="auto"/>
          <w:highlight w:val="none"/>
        </w:rPr>
        <w:fldChar w:fldCharType="end"/>
      </w:r>
      <w:r>
        <w:rPr>
          <w:color w:val="auto"/>
          <w:highlight w:val="none"/>
        </w:rPr>
        <w:t>厂区加强绿化。</w:t>
      </w:r>
    </w:p>
    <w:p>
      <w:pPr>
        <w:bidi w:val="0"/>
        <w:rPr>
          <w:rFonts w:ascii="Times New Roman" w:hAnsi="Times New Roman" w:eastAsia="宋体" w:cs="Times New Roman"/>
          <w:caps w:val="0"/>
          <w:smallCaps w:val="0"/>
          <w:color w:val="auto"/>
          <w:spacing w:val="0"/>
          <w:w w:val="99"/>
          <w:position w:val="0"/>
          <w:highlight w:val="none"/>
        </w:rPr>
      </w:pPr>
      <w:r>
        <w:rPr>
          <w:color w:val="auto"/>
          <w:highlight w:val="none"/>
        </w:rPr>
        <w:t>运营期严格管理、勤于维护，厂界噪声均能满足《工业企业厂界环境噪声排放标准》</w:t>
      </w:r>
      <w:r>
        <w:rPr>
          <w:rFonts w:hint="eastAsia"/>
          <w:color w:val="auto"/>
          <w:highlight w:val="none"/>
          <w:lang w:eastAsia="zh-CN"/>
        </w:rPr>
        <w:t>（</w:t>
      </w:r>
      <w:r>
        <w:rPr>
          <w:color w:val="auto"/>
          <w:highlight w:val="none"/>
        </w:rPr>
        <w:t>GB12348-2008）表1中</w:t>
      </w:r>
      <w:r>
        <w:rPr>
          <w:rFonts w:hint="eastAsia"/>
          <w:color w:val="auto"/>
          <w:highlight w:val="none"/>
          <w:lang w:val="en-US" w:eastAsia="zh-CN"/>
        </w:rPr>
        <w:t>3</w:t>
      </w:r>
      <w:r>
        <w:rPr>
          <w:color w:val="auto"/>
          <w:highlight w:val="none"/>
        </w:rPr>
        <w:t>类标准：昼间</w:t>
      </w:r>
      <w:r>
        <w:rPr>
          <w:rFonts w:hint="eastAsia"/>
          <w:color w:val="auto"/>
          <w:highlight w:val="none"/>
          <w:lang w:val="en-US" w:eastAsia="zh-CN"/>
        </w:rPr>
        <w:t>65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，夜间</w:t>
      </w:r>
      <w:r>
        <w:rPr>
          <w:rFonts w:hint="eastAsia"/>
          <w:color w:val="auto"/>
          <w:highlight w:val="none"/>
          <w:lang w:val="en-US" w:eastAsia="zh-CN"/>
        </w:rPr>
        <w:t>55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w:t>
      </w:r>
    </w:p>
    <w:p>
      <w:pPr>
        <w:pStyle w:val="7"/>
        <w:bidi w:val="0"/>
        <w:rPr>
          <w:color w:val="auto"/>
          <w:highlight w:val="none"/>
        </w:rPr>
      </w:pPr>
      <w:bookmarkStart w:id="1268" w:name="_Toc29728"/>
      <w:r>
        <w:rPr>
          <w:color w:val="auto"/>
          <w:highlight w:val="none"/>
        </w:rPr>
        <w:t>9.4.4固体废物污染防治措施</w:t>
      </w:r>
      <w:bookmarkEnd w:id="1268"/>
    </w:p>
    <w:p>
      <w:pPr>
        <w:bidi w:val="0"/>
        <w:rPr>
          <w:color w:val="auto"/>
          <w:highlight w:val="none"/>
        </w:rPr>
      </w:pPr>
      <w:r>
        <w:rPr>
          <w:color w:val="auto"/>
          <w:highlight w:val="none"/>
        </w:rPr>
        <w:t>本项目根据《</w:t>
      </w:r>
      <w:r>
        <w:rPr>
          <w:rFonts w:hint="eastAsia"/>
          <w:color w:val="auto"/>
          <w:highlight w:val="none"/>
        </w:rPr>
        <w:t>一般工业固体废物贮存和填埋污染控制标准</w:t>
      </w:r>
      <w:r>
        <w:rPr>
          <w:color w:val="auto"/>
          <w:highlight w:val="none"/>
        </w:rPr>
        <w:t>》</w:t>
      </w:r>
      <w:r>
        <w:rPr>
          <w:rFonts w:hint="eastAsia"/>
          <w:color w:val="auto"/>
          <w:highlight w:val="none"/>
          <w:lang w:eastAsia="zh-CN"/>
        </w:rPr>
        <w:t>（</w:t>
      </w:r>
      <w:r>
        <w:rPr>
          <w:color w:val="auto"/>
          <w:highlight w:val="none"/>
        </w:rPr>
        <w:t>GB18599-20</w:t>
      </w:r>
      <w:r>
        <w:rPr>
          <w:rFonts w:hint="eastAsia"/>
          <w:color w:val="auto"/>
          <w:highlight w:val="none"/>
          <w:lang w:val="en-US" w:eastAsia="zh-CN"/>
        </w:rPr>
        <w:t>20</w:t>
      </w:r>
      <w:r>
        <w:rPr>
          <w:color w:val="auto"/>
          <w:highlight w:val="none"/>
        </w:rPr>
        <w:t>）及其修改单、《危险废物贮存污染控制标准》</w:t>
      </w:r>
      <w:r>
        <w:rPr>
          <w:rFonts w:hint="eastAsia"/>
          <w:color w:val="auto"/>
          <w:highlight w:val="none"/>
          <w:lang w:eastAsia="zh-CN"/>
        </w:rPr>
        <w:t>（</w:t>
      </w:r>
      <w:r>
        <w:rPr>
          <w:color w:val="auto"/>
          <w:highlight w:val="none"/>
        </w:rPr>
        <w:t>GB18597-20</w:t>
      </w:r>
      <w:r>
        <w:rPr>
          <w:rFonts w:hint="eastAsia"/>
          <w:color w:val="auto"/>
          <w:highlight w:val="none"/>
          <w:lang w:val="en-US" w:eastAsia="zh-CN"/>
        </w:rPr>
        <w:t>23</w:t>
      </w:r>
      <w:r>
        <w:rPr>
          <w:color w:val="auto"/>
          <w:highlight w:val="none"/>
        </w:rPr>
        <w:t>）有关要求，做好贮存间防腐、防渗、防风、防雨、防晒等措施，对各类固废进行分类收集、分区存放。按照《危险废物规范化管理指标体系》进行危废管理，并制定《危险废物管理计划》。</w:t>
      </w:r>
    </w:p>
    <w:p>
      <w:pPr>
        <w:bidi w:val="0"/>
        <w:rPr>
          <w:color w:val="auto"/>
          <w:highlight w:val="none"/>
        </w:rPr>
      </w:pPr>
      <w:r>
        <w:rPr>
          <w:color w:val="auto"/>
          <w:highlight w:val="none"/>
        </w:rPr>
        <w:t>危险废物在厂内危废间贮存，达到一定量后，由处置单位到危废间转运。从危险废物装车后全程由处置单位负责。</w:t>
      </w:r>
    </w:p>
    <w:p>
      <w:pPr>
        <w:pStyle w:val="6"/>
        <w:bidi w:val="0"/>
        <w:rPr>
          <w:color w:val="auto"/>
          <w:highlight w:val="none"/>
        </w:rPr>
      </w:pPr>
      <w:bookmarkStart w:id="1269" w:name="_Toc30648"/>
      <w:bookmarkStart w:id="1270" w:name="_Toc26874"/>
      <w:r>
        <w:rPr>
          <w:color w:val="auto"/>
          <w:highlight w:val="none"/>
        </w:rPr>
        <w:t>9.5环境影响评价结论</w:t>
      </w:r>
      <w:bookmarkEnd w:id="1269"/>
      <w:bookmarkEnd w:id="1270"/>
    </w:p>
    <w:p>
      <w:pPr>
        <w:pStyle w:val="7"/>
        <w:bidi w:val="0"/>
        <w:rPr>
          <w:color w:val="auto"/>
          <w:highlight w:val="none"/>
        </w:rPr>
      </w:pPr>
      <w:bookmarkStart w:id="1271" w:name="_Toc28960"/>
      <w:r>
        <w:rPr>
          <w:color w:val="auto"/>
          <w:highlight w:val="none"/>
        </w:rPr>
        <w:t>9.5.1地表水环境影响分析结论</w:t>
      </w:r>
      <w:bookmarkEnd w:id="1271"/>
    </w:p>
    <w:p>
      <w:pPr>
        <w:bidi w:val="0"/>
        <w:rPr>
          <w:rFonts w:hint="default"/>
          <w:color w:val="auto"/>
          <w:highlight w:val="none"/>
          <w:lang w:val="en-US"/>
        </w:rPr>
      </w:pPr>
      <w:r>
        <w:rPr>
          <w:color w:val="auto"/>
          <w:highlight w:val="none"/>
        </w:rPr>
        <w:t>生产过程中产生的废水主要是斜筛脱水机脱下的水、网下、压榨脱下的水和锅炉排水，本项目</w:t>
      </w:r>
      <w:r>
        <w:rPr>
          <w:rFonts w:hint="eastAsia"/>
          <w:color w:val="auto"/>
          <w:highlight w:val="none"/>
        </w:rPr>
        <w:t>以漂白针叶木浆和</w:t>
      </w:r>
      <w:r>
        <w:rPr>
          <w:rFonts w:hint="eastAsia"/>
          <w:color w:val="auto"/>
          <w:highlight w:val="none"/>
          <w:lang w:eastAsia="zh-CN"/>
        </w:rPr>
        <w:t>木浆成份纸板</w:t>
      </w:r>
      <w:r>
        <w:rPr>
          <w:rFonts w:hint="eastAsia"/>
          <w:color w:val="auto"/>
          <w:highlight w:val="none"/>
        </w:rPr>
        <w:t>为原料，</w:t>
      </w:r>
      <w:r>
        <w:rPr>
          <w:color w:val="auto"/>
          <w:highlight w:val="none"/>
        </w:rPr>
        <w:t>生产废水主要成分为原料带入的细沙、泥土等无机物，有机物含量较少，本项目采用生产废水主要成分为原料带入的细沙、泥土等无机物，有机物含量较少</w:t>
      </w:r>
      <w:r>
        <w:rPr>
          <w:rFonts w:hint="eastAsia"/>
          <w:color w:val="auto"/>
          <w:highlight w:val="none"/>
          <w:lang w:eastAsia="zh-CN"/>
        </w:rPr>
        <w:t>。</w:t>
      </w:r>
      <w:r>
        <w:rPr>
          <w:color w:val="auto"/>
          <w:highlight w:val="none"/>
        </w:rPr>
        <w:t>本项目采用</w:t>
      </w:r>
      <w:r>
        <w:rPr>
          <w:rFonts w:hint="eastAsia"/>
          <w:color w:val="auto"/>
          <w:highlight w:val="none"/>
          <w:lang w:eastAsia="zh-CN"/>
        </w:rPr>
        <w:t>沉淀</w:t>
      </w:r>
      <w:r>
        <w:rPr>
          <w:rFonts w:hint="eastAsia"/>
          <w:color w:val="auto"/>
          <w:highlight w:val="none"/>
          <w:lang w:val="en-US" w:eastAsia="zh-CN"/>
        </w:rPr>
        <w:t>+A/O生化+气浮</w:t>
      </w:r>
      <w:r>
        <w:rPr>
          <w:color w:val="auto"/>
          <w:highlight w:val="none"/>
        </w:rPr>
        <w:t>对污水进行处理，</w:t>
      </w:r>
      <w:r>
        <w:rPr>
          <w:rFonts w:hint="eastAsia"/>
          <w:color w:val="auto"/>
          <w:highlight w:val="none"/>
          <w:lang w:eastAsia="zh-CN"/>
        </w:rPr>
        <w:t>经处理后</w:t>
      </w:r>
      <w:r>
        <w:rPr>
          <w:color w:val="auto"/>
          <w:highlight w:val="none"/>
        </w:rPr>
        <w:t>回用于生产，不排入地表水体。</w:t>
      </w:r>
      <w:r>
        <w:rPr>
          <w:rFonts w:ascii="Times New Roman" w:hAnsi="Times New Roman" w:eastAsia="宋体" w:cs="Times New Roman"/>
          <w:color w:val="auto"/>
          <w:sz w:val="24"/>
          <w:highlight w:val="none"/>
        </w:rPr>
        <w:t>生活污水</w:t>
      </w:r>
      <w:r>
        <w:rPr>
          <w:rFonts w:hint="eastAsia" w:cs="Times New Roman"/>
          <w:color w:val="auto"/>
          <w:sz w:val="24"/>
          <w:highlight w:val="none"/>
          <w:lang w:eastAsia="zh-CN"/>
        </w:rPr>
        <w:t>产采用防渗旱厕收集</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定期清掏还田。</w:t>
      </w:r>
      <w:r>
        <w:rPr>
          <w:rFonts w:hint="eastAsia" w:cs="Times New Roman"/>
          <w:color w:val="auto"/>
          <w:sz w:val="24"/>
          <w:highlight w:val="none"/>
          <w:lang w:val="en-US" w:eastAsia="zh-CN"/>
        </w:rPr>
        <w:t>本项目废水不会对地表水产生影响。</w:t>
      </w:r>
    </w:p>
    <w:p>
      <w:pPr>
        <w:pStyle w:val="7"/>
        <w:bidi w:val="0"/>
        <w:rPr>
          <w:color w:val="auto"/>
          <w:highlight w:val="none"/>
        </w:rPr>
      </w:pPr>
      <w:bookmarkStart w:id="1272" w:name="_Toc23168"/>
      <w:r>
        <w:rPr>
          <w:color w:val="auto"/>
          <w:highlight w:val="none"/>
        </w:rPr>
        <w:t>9.5.2环境空气环境影响评价结论</w:t>
      </w:r>
      <w:bookmarkEnd w:id="1272"/>
    </w:p>
    <w:p>
      <w:pPr>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9"/>
        <w:rPr>
          <w:b/>
          <w:bCs/>
          <w:color w:val="auto"/>
          <w:highlight w:val="none"/>
        </w:rPr>
      </w:pPr>
      <w:r>
        <w:rPr>
          <w:b/>
          <w:bCs/>
          <w:color w:val="auto"/>
          <w:highlight w:val="none"/>
        </w:rPr>
        <w:t>9.5.2.1预测结果</w:t>
      </w:r>
    </w:p>
    <w:p>
      <w:pPr>
        <w:bidi w:val="0"/>
        <w:rPr>
          <w:color w:val="auto"/>
          <w:highlight w:val="none"/>
        </w:rPr>
      </w:pPr>
      <w:r>
        <w:rPr>
          <w:color w:val="auto"/>
          <w:highlight w:val="none"/>
        </w:rPr>
        <w:t>本项目设置一台</w:t>
      </w:r>
      <w:r>
        <w:rPr>
          <w:rFonts w:hint="eastAsia"/>
          <w:color w:val="auto"/>
          <w:highlight w:val="none"/>
          <w:lang w:val="en-US" w:eastAsia="zh-CN"/>
        </w:rPr>
        <w:t>6t/h生物质</w:t>
      </w:r>
      <w:r>
        <w:rPr>
          <w:color w:val="auto"/>
          <w:highlight w:val="none"/>
        </w:rPr>
        <w:t>蒸汽锅炉，锅炉烟气经</w:t>
      </w:r>
      <w:r>
        <w:rPr>
          <w:rFonts w:hint="eastAsia"/>
          <w:color w:val="auto"/>
          <w:highlight w:val="none"/>
          <w:lang w:val="en-US" w:eastAsia="zh-CN"/>
        </w:rPr>
        <w:t>3</w:t>
      </w:r>
      <w:r>
        <w:rPr>
          <w:color w:val="auto"/>
          <w:highlight w:val="none"/>
        </w:rPr>
        <w:t>5m高排气筒排放，锅炉大气污染物排放浓度满足</w:t>
      </w:r>
      <w:r>
        <w:rPr>
          <w:rFonts w:hint="eastAsia"/>
          <w:color w:val="auto"/>
          <w:highlight w:val="none"/>
        </w:rPr>
        <w:t>《锅炉大气污染物排放标准》（GB13271-2014）中的表2新建锅炉大气标准要求</w:t>
      </w:r>
      <w:r>
        <w:rPr>
          <w:color w:val="auto"/>
          <w:highlight w:val="none"/>
        </w:rPr>
        <w:t>；</w:t>
      </w:r>
      <w:r>
        <w:rPr>
          <w:rFonts w:hint="eastAsia"/>
          <w:color w:val="auto"/>
          <w:highlight w:val="none"/>
        </w:rPr>
        <w:t>烟囱高度执行燃煤锅炉房烟囱最低允许高度35m，并高于周围半径200m距离内最高建筑物3m以上，对周围环境空气影响较小</w:t>
      </w:r>
      <w:r>
        <w:rPr>
          <w:color w:val="auto"/>
          <w:highlight w:val="none"/>
        </w:rPr>
        <w:t>。</w:t>
      </w:r>
    </w:p>
    <w:p>
      <w:pPr>
        <w:bidi w:val="0"/>
        <w:rPr>
          <w:rFonts w:hint="eastAsia" w:eastAsia="宋体"/>
          <w:color w:val="auto"/>
          <w:highlight w:val="none"/>
          <w:lang w:eastAsia="zh-CN"/>
        </w:rPr>
      </w:pPr>
      <w:r>
        <w:rPr>
          <w:rFonts w:hint="eastAsia"/>
          <w:color w:val="auto"/>
          <w:highlight w:val="none"/>
          <w:lang w:eastAsia="zh-CN"/>
        </w:rPr>
        <w:t>污水处理站废气经负压集气</w:t>
      </w:r>
      <w:r>
        <w:rPr>
          <w:rFonts w:hint="eastAsia"/>
          <w:color w:val="auto"/>
          <w:highlight w:val="none"/>
          <w:lang w:val="en-US" w:eastAsia="zh-CN"/>
        </w:rPr>
        <w:t>+活性炭吸附+15米高排气筒排放，有组织废气排放口NH</w:t>
      </w:r>
      <w:r>
        <w:rPr>
          <w:rFonts w:hint="eastAsia"/>
          <w:color w:val="auto"/>
          <w:highlight w:val="none"/>
          <w:vertAlign w:val="subscript"/>
          <w:lang w:val="en-US" w:eastAsia="zh-CN"/>
        </w:rPr>
        <w:t>3</w:t>
      </w:r>
      <w:r>
        <w:rPr>
          <w:rFonts w:hint="eastAsia"/>
          <w:color w:val="auto"/>
          <w:highlight w:val="none"/>
          <w:lang w:val="en-US" w:eastAsia="zh-CN"/>
        </w:rPr>
        <w:t>、H</w:t>
      </w:r>
      <w:r>
        <w:rPr>
          <w:rFonts w:hint="eastAsia"/>
          <w:color w:val="auto"/>
          <w:highlight w:val="none"/>
          <w:vertAlign w:val="subscript"/>
          <w:lang w:val="en-US" w:eastAsia="zh-CN"/>
        </w:rPr>
        <w:t>2</w:t>
      </w:r>
      <w:r>
        <w:rPr>
          <w:rFonts w:hint="eastAsia"/>
          <w:color w:val="auto"/>
          <w:highlight w:val="none"/>
          <w:lang w:val="en-US" w:eastAsia="zh-CN"/>
        </w:rPr>
        <w:t>S、臭气浓度能够满足《恶臭污染物排放标准》（GB14554-93）表2恶臭污染物排放标准值。</w:t>
      </w:r>
      <w:r>
        <w:rPr>
          <w:color w:val="auto"/>
          <w:highlight w:val="none"/>
        </w:rPr>
        <w:t>污水处理站封闭，及时清掏污泥、加强厂区绿化，尽量控制无组织气体排放量，经大气稀释扩散后无组织H</w:t>
      </w:r>
      <w:r>
        <w:rPr>
          <w:color w:val="auto"/>
          <w:highlight w:val="none"/>
          <w:vertAlign w:val="subscript"/>
        </w:rPr>
        <w:t>2</w:t>
      </w:r>
      <w:r>
        <w:rPr>
          <w:color w:val="auto"/>
          <w:highlight w:val="none"/>
        </w:rPr>
        <w:t>S、NH</w:t>
      </w:r>
      <w:r>
        <w:rPr>
          <w:color w:val="auto"/>
          <w:highlight w:val="none"/>
          <w:vertAlign w:val="subscript"/>
        </w:rPr>
        <w:t>3</w:t>
      </w:r>
      <w:r>
        <w:rPr>
          <w:color w:val="auto"/>
          <w:highlight w:val="none"/>
        </w:rPr>
        <w:t>、臭气浓度可满足《恶臭污染物排放标准》</w:t>
      </w:r>
      <w:r>
        <w:rPr>
          <w:rFonts w:hint="eastAsia"/>
          <w:color w:val="auto"/>
          <w:highlight w:val="none"/>
          <w:lang w:eastAsia="zh-CN"/>
        </w:rPr>
        <w:t>（</w:t>
      </w:r>
      <w:r>
        <w:rPr>
          <w:color w:val="auto"/>
          <w:highlight w:val="none"/>
        </w:rPr>
        <w:t>GB14554-93）表1中二级新扩改建标准恶臭污染物厂界标准限值要求</w:t>
      </w:r>
      <w:r>
        <w:rPr>
          <w:rFonts w:hint="eastAsia"/>
          <w:color w:val="auto"/>
          <w:highlight w:val="none"/>
          <w:lang w:eastAsia="zh-CN"/>
        </w:rPr>
        <w:t>。</w:t>
      </w:r>
    </w:p>
    <w:p>
      <w:pPr>
        <w:bidi w:val="0"/>
        <w:rPr>
          <w:color w:val="auto"/>
          <w:highlight w:val="none"/>
        </w:rPr>
      </w:pPr>
      <w:r>
        <w:rPr>
          <w:color w:val="auto"/>
          <w:highlight w:val="none"/>
        </w:rPr>
        <w:t>预测模式采用《环境影响评价技术导则-大气环境》</w:t>
      </w:r>
      <w:r>
        <w:rPr>
          <w:rFonts w:hint="eastAsia"/>
          <w:color w:val="auto"/>
          <w:highlight w:val="none"/>
          <w:lang w:eastAsia="zh-CN"/>
        </w:rPr>
        <w:t>（</w:t>
      </w:r>
      <w:r>
        <w:rPr>
          <w:color w:val="auto"/>
          <w:highlight w:val="none"/>
        </w:rPr>
        <w:t>HJ2.2-2008）推荐的EPA的Screen3模式，预测因子：PM</w:t>
      </w:r>
      <w:r>
        <w:rPr>
          <w:color w:val="auto"/>
          <w:highlight w:val="none"/>
          <w:vertAlign w:val="subscript"/>
        </w:rPr>
        <w:t>10</w:t>
      </w:r>
      <w:r>
        <w:rPr>
          <w:color w:val="auto"/>
          <w:highlight w:val="none"/>
        </w:rPr>
        <w:t>、SO</w:t>
      </w:r>
      <w:r>
        <w:rPr>
          <w:color w:val="auto"/>
          <w:highlight w:val="none"/>
          <w:vertAlign w:val="subscript"/>
        </w:rPr>
        <w:t>2</w:t>
      </w:r>
      <w:r>
        <w:rPr>
          <w:color w:val="auto"/>
          <w:highlight w:val="none"/>
        </w:rPr>
        <w:t>、NO</w:t>
      </w:r>
      <w:r>
        <w:rPr>
          <w:color w:val="auto"/>
          <w:highlight w:val="none"/>
          <w:vertAlign w:val="subscript"/>
        </w:rPr>
        <w:t>x</w:t>
      </w:r>
      <w:r>
        <w:rPr>
          <w:color w:val="auto"/>
          <w:highlight w:val="none"/>
        </w:rPr>
        <w:t>、氨、硫化氢，预测结果如下：</w:t>
      </w:r>
    </w:p>
    <w:p>
      <w:pPr>
        <w:bidi w:val="0"/>
        <w:rPr>
          <w:color w:val="auto"/>
          <w:highlight w:val="none"/>
        </w:rPr>
      </w:pPr>
      <w:r>
        <w:rPr>
          <w:color w:val="auto"/>
          <w:highlight w:val="none"/>
        </w:rPr>
        <w:t>锅炉大气污染物的最大落地浓度均未超过环境标准要求，最大地面浓度占标率均小于10%，所占环境份额较小，可被环境所接受。</w:t>
      </w:r>
    </w:p>
    <w:p>
      <w:pPr>
        <w:bidi w:val="0"/>
        <w:rPr>
          <w:color w:val="auto"/>
          <w:highlight w:val="none"/>
        </w:rPr>
      </w:pPr>
      <w:r>
        <w:rPr>
          <w:color w:val="auto"/>
          <w:highlight w:val="none"/>
        </w:rPr>
        <w:t>污水处理站大气污染物的最大落地浓度均未超过环境标准要求，最大地面浓度占标率均小于10%，所占环境份额较小，可被环境所接受。</w:t>
      </w:r>
    </w:p>
    <w:p>
      <w:pPr>
        <w:bidi w:val="0"/>
        <w:rPr>
          <w:color w:val="auto"/>
          <w:highlight w:val="none"/>
        </w:rPr>
      </w:pPr>
      <w:r>
        <w:rPr>
          <w:color w:val="auto"/>
          <w:highlight w:val="none"/>
        </w:rPr>
        <w:t>根据《环境影响评价技术导则</w:t>
      </w:r>
      <w:r>
        <w:rPr>
          <w:rFonts w:hint="eastAsia"/>
          <w:color w:val="auto"/>
          <w:highlight w:val="none"/>
          <w:lang w:val="en-US" w:eastAsia="zh-CN"/>
        </w:rPr>
        <w:t xml:space="preserve"> </w:t>
      </w:r>
      <w:r>
        <w:rPr>
          <w:color w:val="auto"/>
          <w:highlight w:val="none"/>
        </w:rPr>
        <w:t>大气环境》</w:t>
      </w:r>
      <w:r>
        <w:rPr>
          <w:rFonts w:hint="eastAsia"/>
          <w:color w:val="auto"/>
          <w:highlight w:val="none"/>
          <w:lang w:eastAsia="zh-CN"/>
        </w:rPr>
        <w:t>（</w:t>
      </w:r>
      <w:r>
        <w:rPr>
          <w:color w:val="auto"/>
          <w:highlight w:val="none"/>
        </w:rPr>
        <w:t>HJ2.2-2008）中要求，采用估算模式计算大气环境防护距离，经计算大气环境防护距离无超标点，故本项目无需设大气环境防护距离。</w:t>
      </w:r>
    </w:p>
    <w:p>
      <w:pPr>
        <w:bidi w:val="0"/>
        <w:rPr>
          <w:color w:val="auto"/>
          <w:highlight w:val="none"/>
        </w:rPr>
      </w:pPr>
      <w:r>
        <w:rPr>
          <w:color w:val="auto"/>
          <w:highlight w:val="none"/>
        </w:rPr>
        <w:t>综上所述，严格采取本项目提出的措施，确保达标排放，杜绝非正常工况，总体来说，本项目建设不会对周围环境产生明显影响。</w:t>
      </w:r>
    </w:p>
    <w:p>
      <w:pPr>
        <w:pStyle w:val="7"/>
        <w:bidi w:val="0"/>
        <w:rPr>
          <w:color w:val="auto"/>
          <w:highlight w:val="none"/>
        </w:rPr>
      </w:pPr>
      <w:bookmarkStart w:id="1273" w:name="_Toc14106"/>
      <w:r>
        <w:rPr>
          <w:color w:val="auto"/>
          <w:highlight w:val="none"/>
        </w:rPr>
        <w:t>9.5.3噪声环境影响评价结论</w:t>
      </w:r>
      <w:bookmarkEnd w:id="1273"/>
    </w:p>
    <w:p>
      <w:pPr>
        <w:bidi w:val="0"/>
        <w:rPr>
          <w:color w:val="auto"/>
          <w:highlight w:val="none"/>
        </w:rPr>
      </w:pPr>
      <w:r>
        <w:rPr>
          <w:color w:val="auto"/>
          <w:highlight w:val="none"/>
        </w:rPr>
        <w:t>噪声源采取减震、车间封闭等措施后，昼间叠加值在52.37-53.58dB</w:t>
      </w:r>
      <w:r>
        <w:rPr>
          <w:rFonts w:hint="eastAsia"/>
          <w:color w:val="auto"/>
          <w:highlight w:val="none"/>
          <w:lang w:eastAsia="zh-CN"/>
        </w:rPr>
        <w:t>（</w:t>
      </w:r>
      <w:r>
        <w:rPr>
          <w:color w:val="auto"/>
          <w:highlight w:val="none"/>
        </w:rPr>
        <w:t>A）之间，夜间叠加值在42.39-44.32dB</w:t>
      </w:r>
      <w:r>
        <w:rPr>
          <w:rFonts w:hint="eastAsia"/>
          <w:color w:val="auto"/>
          <w:highlight w:val="none"/>
          <w:lang w:eastAsia="zh-CN"/>
        </w:rPr>
        <w:t>（</w:t>
      </w:r>
      <w:r>
        <w:rPr>
          <w:color w:val="auto"/>
          <w:highlight w:val="none"/>
        </w:rPr>
        <w:t>A）之间，贡献值在27.24-39.20dB</w:t>
      </w:r>
      <w:r>
        <w:rPr>
          <w:rFonts w:hint="eastAsia"/>
          <w:color w:val="auto"/>
          <w:highlight w:val="none"/>
          <w:lang w:eastAsia="zh-CN"/>
        </w:rPr>
        <w:t>（</w:t>
      </w:r>
      <w:r>
        <w:rPr>
          <w:color w:val="auto"/>
          <w:highlight w:val="none"/>
        </w:rPr>
        <w:t>A）之间，厂界噪声满足《工业企业厂界环境噪声排放标准》</w:t>
      </w:r>
      <w:r>
        <w:rPr>
          <w:rFonts w:hint="eastAsia"/>
          <w:color w:val="auto"/>
          <w:highlight w:val="none"/>
          <w:lang w:eastAsia="zh-CN"/>
        </w:rPr>
        <w:t>（</w:t>
      </w:r>
      <w:r>
        <w:rPr>
          <w:color w:val="auto"/>
          <w:highlight w:val="none"/>
        </w:rPr>
        <w:t>GB12348-2008）表1中</w:t>
      </w:r>
      <w:r>
        <w:rPr>
          <w:rFonts w:hint="eastAsia"/>
          <w:color w:val="auto"/>
          <w:highlight w:val="none"/>
          <w:lang w:val="en-US" w:eastAsia="zh-CN"/>
        </w:rPr>
        <w:t>3</w:t>
      </w:r>
      <w:r>
        <w:rPr>
          <w:color w:val="auto"/>
          <w:highlight w:val="none"/>
        </w:rPr>
        <w:t>类标准：昼间6</w:t>
      </w:r>
      <w:r>
        <w:rPr>
          <w:rFonts w:hint="eastAsia"/>
          <w:color w:val="auto"/>
          <w:highlight w:val="none"/>
          <w:lang w:val="en-US" w:eastAsia="zh-CN"/>
        </w:rPr>
        <w:t>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，夜间</w:t>
      </w:r>
      <w:r>
        <w:rPr>
          <w:rFonts w:hint="eastAsia"/>
          <w:color w:val="auto"/>
          <w:highlight w:val="none"/>
          <w:lang w:val="en-US" w:eastAsia="zh-CN"/>
        </w:rPr>
        <w:t>5</w:t>
      </w:r>
      <w:r>
        <w:rPr>
          <w:color w:val="auto"/>
          <w:highlight w:val="none"/>
        </w:rPr>
        <w:t>0dB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，不会对周围声环境产生明显影响。</w:t>
      </w:r>
    </w:p>
    <w:p>
      <w:pPr>
        <w:pStyle w:val="7"/>
        <w:bidi w:val="0"/>
        <w:rPr>
          <w:color w:val="auto"/>
          <w:highlight w:val="none"/>
        </w:rPr>
      </w:pPr>
      <w:bookmarkStart w:id="1274" w:name="_Toc27170"/>
      <w:r>
        <w:rPr>
          <w:color w:val="auto"/>
          <w:highlight w:val="none"/>
        </w:rPr>
        <w:t>9.5.4固体废物环境影响分析结论</w:t>
      </w:r>
      <w:bookmarkEnd w:id="1274"/>
    </w:p>
    <w:p>
      <w:pPr>
        <w:bidi w:val="0"/>
        <w:rPr>
          <w:color w:val="auto"/>
          <w:highlight w:val="none"/>
        </w:rPr>
      </w:pPr>
      <w:r>
        <w:rPr>
          <w:color w:val="auto"/>
          <w:highlight w:val="none"/>
        </w:rPr>
        <w:t>除砂、纤维分离过程产生的砂、土、纤维等杂物</w:t>
      </w:r>
      <w:r>
        <w:rPr>
          <w:rFonts w:ascii="宋体" w:hAnsi="Times New Roman" w:eastAsia="宋体" w:cs="Times New Roman"/>
          <w:color w:val="auto"/>
          <w:highlight w:val="none"/>
        </w:rPr>
        <w:t>，</w:t>
      </w:r>
      <w:r>
        <w:rPr>
          <w:rFonts w:hint="eastAsia" w:ascii="宋体" w:hAnsi="Times New Roman" w:eastAsia="宋体" w:cs="Times New Roman"/>
          <w:color w:val="auto"/>
          <w:highlight w:val="none"/>
          <w:lang w:val="en-US" w:eastAsia="zh-CN"/>
        </w:rPr>
        <w:t>定期外售给收购企业进行资源化利用</w:t>
      </w:r>
      <w:r>
        <w:rPr>
          <w:rFonts w:ascii="宋体" w:hAnsi="Times New Roman" w:eastAsia="宋体" w:cs="Times New Roman"/>
          <w:color w:val="auto"/>
          <w:highlight w:val="none"/>
        </w:rPr>
        <w:t>；</w:t>
      </w:r>
      <w:r>
        <w:rPr>
          <w:color w:val="auto"/>
          <w:highlight w:val="none"/>
        </w:rPr>
        <w:t>污水处理站产生的污泥</w:t>
      </w:r>
      <w:r>
        <w:rPr>
          <w:rFonts w:hint="eastAsia" w:ascii="Times New Roman" w:hAnsi="Times New Roman" w:eastAsia="宋体" w:cs="Times New Roman"/>
          <w:color w:val="auto"/>
          <w:highlight w:val="none"/>
        </w:rPr>
        <w:t>泥经</w:t>
      </w:r>
      <w:r>
        <w:rPr>
          <w:rFonts w:hint="eastAsia" w:cs="Times New Roman"/>
          <w:color w:val="auto"/>
          <w:highlight w:val="none"/>
          <w:lang w:val="en-US" w:eastAsia="zh-CN"/>
        </w:rPr>
        <w:t>脱水机脱水</w:t>
      </w:r>
      <w:r>
        <w:rPr>
          <w:rFonts w:hint="eastAsia" w:ascii="Times New Roman" w:hAnsi="Times New Roman" w:eastAsia="宋体" w:cs="Times New Roman"/>
          <w:color w:val="auto"/>
          <w:highlight w:val="none"/>
        </w:rPr>
        <w:t>后外售砖厂制砖</w:t>
      </w:r>
      <w:r>
        <w:rPr>
          <w:color w:val="auto"/>
          <w:highlight w:val="none"/>
        </w:rPr>
        <w:t>；</w:t>
      </w:r>
      <w:r>
        <w:rPr>
          <w:rFonts w:hint="eastAsia"/>
          <w:color w:val="auto"/>
          <w:highlight w:val="none"/>
          <w:lang w:val="en-US" w:eastAsia="zh-CN"/>
        </w:rPr>
        <w:t>锅炉灰渣</w:t>
      </w:r>
      <w:r>
        <w:rPr>
          <w:rFonts w:hint="eastAsia" w:ascii="宋体" w:hAnsi="Times New Roman" w:eastAsia="宋体" w:cs="Times New Roman"/>
          <w:color w:val="auto"/>
          <w:highlight w:val="none"/>
          <w:lang w:val="en-US" w:eastAsia="zh-CN"/>
        </w:rPr>
        <w:t>定期外售给收购企业进行资源化利用</w:t>
      </w:r>
      <w:r>
        <w:rPr>
          <w:rFonts w:hint="eastAsia"/>
          <w:color w:val="auto"/>
          <w:highlight w:val="none"/>
        </w:rPr>
        <w:t>；废离子交换树脂</w:t>
      </w:r>
      <w:r>
        <w:rPr>
          <w:rFonts w:hint="eastAsia"/>
          <w:color w:val="auto"/>
          <w:highlight w:val="none"/>
          <w:lang w:val="en-US"/>
        </w:rPr>
        <w:t>由厂家更换后回收处理</w:t>
      </w:r>
      <w:r>
        <w:rPr>
          <w:rFonts w:hint="eastAsia"/>
          <w:color w:val="auto"/>
          <w:highlight w:val="none"/>
        </w:rPr>
        <w:t>；</w:t>
      </w:r>
      <w:r>
        <w:rPr>
          <w:rFonts w:hint="eastAsia"/>
          <w:color w:val="auto"/>
          <w:highlight w:val="none"/>
          <w:lang w:val="en-US"/>
        </w:rPr>
        <w:t>废润滑油</w:t>
      </w:r>
      <w:r>
        <w:rPr>
          <w:rFonts w:hint="eastAsia"/>
          <w:color w:val="auto"/>
          <w:highlight w:val="none"/>
          <w:lang w:val="en-US" w:eastAsia="zh-CN"/>
        </w:rPr>
        <w:t>、废活性炭</w:t>
      </w:r>
      <w:r>
        <w:rPr>
          <w:rFonts w:hint="eastAsia"/>
          <w:color w:val="auto"/>
          <w:highlight w:val="none"/>
        </w:rPr>
        <w:t>暂存危废暂存间后，委托有资质单位处置</w:t>
      </w:r>
      <w:r>
        <w:rPr>
          <w:color w:val="auto"/>
          <w:highlight w:val="none"/>
        </w:rPr>
        <w:t>。</w:t>
      </w:r>
    </w:p>
    <w:p>
      <w:pPr>
        <w:bidi w:val="0"/>
        <w:rPr>
          <w:color w:val="auto"/>
          <w:highlight w:val="none"/>
        </w:rPr>
      </w:pPr>
      <w:r>
        <w:rPr>
          <w:color w:val="auto"/>
          <w:highlight w:val="none"/>
        </w:rPr>
        <w:t>固废暂存设施应做好防渗，防渗等级应达到《</w:t>
      </w:r>
      <w:r>
        <w:rPr>
          <w:rFonts w:hint="eastAsia"/>
          <w:color w:val="auto"/>
          <w:highlight w:val="none"/>
        </w:rPr>
        <w:t>一般工业固体废物贮存和填埋污染控制标准</w:t>
      </w:r>
      <w:r>
        <w:rPr>
          <w:color w:val="auto"/>
          <w:highlight w:val="none"/>
        </w:rPr>
        <w:t>》</w:t>
      </w:r>
      <w:r>
        <w:rPr>
          <w:rFonts w:hint="eastAsia"/>
          <w:color w:val="auto"/>
          <w:highlight w:val="none"/>
          <w:lang w:eastAsia="zh-CN"/>
        </w:rPr>
        <w:t>（</w:t>
      </w:r>
      <w:r>
        <w:rPr>
          <w:color w:val="auto"/>
          <w:highlight w:val="none"/>
        </w:rPr>
        <w:t>GB18599－20</w:t>
      </w:r>
      <w:r>
        <w:rPr>
          <w:rFonts w:hint="eastAsia"/>
          <w:color w:val="auto"/>
          <w:highlight w:val="none"/>
          <w:lang w:val="en-US" w:eastAsia="zh-CN"/>
        </w:rPr>
        <w:t>20</w:t>
      </w:r>
      <w:r>
        <w:rPr>
          <w:color w:val="auto"/>
          <w:highlight w:val="none"/>
        </w:rPr>
        <w:t>）</w:t>
      </w:r>
      <w:r>
        <w:rPr>
          <w:rFonts w:hint="eastAsia"/>
          <w:color w:val="auto"/>
          <w:highlight w:val="none"/>
          <w:lang w:val="en-US" w:eastAsia="zh-CN"/>
        </w:rPr>
        <w:t>防渗要求</w:t>
      </w:r>
      <w:r>
        <w:rPr>
          <w:color w:val="auto"/>
          <w:highlight w:val="none"/>
        </w:rPr>
        <w:t>，防止污水下渗污染地下水。本环评要求原料禁止露天堆放，避免风吹雨淋对周围环境产生影响，且堆放场所应做好防渗，防渗等级应达到《</w:t>
      </w:r>
      <w:r>
        <w:rPr>
          <w:rFonts w:hint="eastAsia"/>
          <w:color w:val="auto"/>
          <w:highlight w:val="none"/>
        </w:rPr>
        <w:t>一般工业固体废物贮存和填埋污染控制标准</w:t>
      </w:r>
      <w:r>
        <w:rPr>
          <w:color w:val="auto"/>
          <w:highlight w:val="none"/>
        </w:rPr>
        <w:t>》</w:t>
      </w:r>
      <w:r>
        <w:rPr>
          <w:rFonts w:hint="eastAsia"/>
          <w:color w:val="auto"/>
          <w:highlight w:val="none"/>
          <w:lang w:eastAsia="zh-CN"/>
        </w:rPr>
        <w:t>（</w:t>
      </w:r>
      <w:r>
        <w:rPr>
          <w:color w:val="auto"/>
          <w:highlight w:val="none"/>
        </w:rPr>
        <w:t>GB18599－20</w:t>
      </w:r>
      <w:r>
        <w:rPr>
          <w:rFonts w:hint="eastAsia"/>
          <w:color w:val="auto"/>
          <w:highlight w:val="none"/>
          <w:lang w:val="en-US" w:eastAsia="zh-CN"/>
        </w:rPr>
        <w:t>20</w:t>
      </w:r>
      <w:r>
        <w:rPr>
          <w:color w:val="auto"/>
          <w:highlight w:val="none"/>
        </w:rPr>
        <w:t>）中规定的渗透系数不大于10</w:t>
      </w:r>
      <w:r>
        <w:rPr>
          <w:color w:val="auto"/>
          <w:highlight w:val="none"/>
          <w:vertAlign w:val="superscript"/>
        </w:rPr>
        <w:t>-7</w:t>
      </w:r>
      <w:r>
        <w:rPr>
          <w:color w:val="auto"/>
          <w:highlight w:val="none"/>
        </w:rPr>
        <w:t>cm/s的要求，防止污水下渗污染地下水。</w:t>
      </w:r>
    </w:p>
    <w:p>
      <w:pPr>
        <w:bidi w:val="0"/>
        <w:rPr>
          <w:rFonts w:hint="default"/>
          <w:color w:val="auto"/>
          <w:highlight w:val="none"/>
        </w:rPr>
      </w:pPr>
      <w:r>
        <w:rPr>
          <w:rFonts w:hint="default"/>
          <w:color w:val="auto"/>
          <w:highlight w:val="none"/>
          <w:lang w:val="en-US" w:eastAsia="zh-CN"/>
        </w:rPr>
        <w:t>废</w:t>
      </w:r>
      <w:r>
        <w:rPr>
          <w:rFonts w:hint="eastAsia"/>
          <w:color w:val="auto"/>
          <w:highlight w:val="none"/>
          <w:lang w:val="en-US" w:eastAsia="zh-CN"/>
        </w:rPr>
        <w:t>润滑油、废活性炭</w:t>
      </w:r>
      <w:r>
        <w:rPr>
          <w:rFonts w:hint="default"/>
          <w:color w:val="auto"/>
          <w:highlight w:val="none"/>
          <w:lang w:val="en-US" w:eastAsia="zh-CN"/>
        </w:rPr>
        <w:t>属于危险废物，本项目设危险废物暂存间，用于暂时贮存该部分危废</w:t>
      </w:r>
      <w:r>
        <w:rPr>
          <w:rFonts w:hint="eastAsia"/>
          <w:color w:val="auto"/>
          <w:highlight w:val="none"/>
          <w:lang w:val="en-US" w:eastAsia="zh-CN"/>
        </w:rPr>
        <w:t>。</w:t>
      </w:r>
      <w:r>
        <w:rPr>
          <w:rFonts w:hint="default"/>
          <w:color w:val="auto"/>
          <w:highlight w:val="none"/>
        </w:rPr>
        <w:t>危废暂存间须满足《危险废物贮存污染控制标准》</w:t>
      </w:r>
      <w:r>
        <w:rPr>
          <w:rFonts w:hint="eastAsia"/>
          <w:color w:val="auto"/>
          <w:highlight w:val="none"/>
          <w:lang w:eastAsia="zh-CN"/>
        </w:rPr>
        <w:t>（</w:t>
      </w:r>
      <w:r>
        <w:rPr>
          <w:rFonts w:hint="default"/>
          <w:color w:val="auto"/>
          <w:highlight w:val="none"/>
        </w:rPr>
        <w:t>GB18597-20</w:t>
      </w:r>
      <w:r>
        <w:rPr>
          <w:rFonts w:hint="eastAsia"/>
          <w:color w:val="auto"/>
          <w:highlight w:val="none"/>
          <w:lang w:val="en-US" w:eastAsia="zh-CN"/>
        </w:rPr>
        <w:t>23</w:t>
      </w:r>
      <w:r>
        <w:rPr>
          <w:rFonts w:hint="default"/>
          <w:color w:val="auto"/>
          <w:highlight w:val="none"/>
        </w:rPr>
        <w:t>）要求：危废暂存间地面设置混凝土基础做防渗处理，防渗层采用2mm厚的防渗材料，保证渗透系数≤10</w:t>
      </w:r>
      <w:r>
        <w:rPr>
          <w:rFonts w:hint="default"/>
          <w:color w:val="auto"/>
          <w:highlight w:val="none"/>
          <w:vertAlign w:val="superscript"/>
        </w:rPr>
        <w:t>-7</w:t>
      </w:r>
      <w:r>
        <w:rPr>
          <w:rFonts w:hint="default"/>
          <w:color w:val="auto"/>
          <w:highlight w:val="none"/>
        </w:rPr>
        <w:t>cm/s，危废的贮存场所设置明显标志；贮存场所内禁止混放不相溶危险废物；危废的转移执行国家环保总局第5号令《危险废物转移联单管理办法》。</w:t>
      </w:r>
    </w:p>
    <w:p>
      <w:pPr>
        <w:bidi w:val="0"/>
        <w:rPr>
          <w:color w:val="auto"/>
          <w:highlight w:val="none"/>
        </w:rPr>
      </w:pPr>
      <w:r>
        <w:rPr>
          <w:rFonts w:hint="default"/>
          <w:color w:val="auto"/>
          <w:highlight w:val="none"/>
        </w:rPr>
        <w:t>在日常管理中，应设置专人加强对危废暂存间的管理，出现问题及时解决，避免形成二次污染，对工作人员应进行专业培训，熟知各项固废知识。</w:t>
      </w:r>
    </w:p>
    <w:p>
      <w:pPr>
        <w:bidi w:val="0"/>
        <w:rPr>
          <w:color w:val="auto"/>
          <w:highlight w:val="none"/>
        </w:rPr>
      </w:pPr>
      <w:r>
        <w:rPr>
          <w:color w:val="auto"/>
          <w:highlight w:val="none"/>
        </w:rPr>
        <w:t>综上分析，本项目产生的固体废物处置率达100%，运营期加强管理，固废暂存设施采取防雨、防渗、防漏等措施后，不会对环境产生危害影响。</w:t>
      </w:r>
    </w:p>
    <w:p>
      <w:pPr>
        <w:pStyle w:val="7"/>
        <w:bidi w:val="0"/>
        <w:rPr>
          <w:color w:val="auto"/>
          <w:highlight w:val="none"/>
        </w:rPr>
      </w:pPr>
      <w:bookmarkStart w:id="1275" w:name="_Toc21803"/>
      <w:r>
        <w:rPr>
          <w:rFonts w:ascii="Times New Roman" w:hAnsi="Times New Roman" w:eastAsia="宋体" w:cs="Times New Roman"/>
          <w:color w:val="auto"/>
          <w:highlight w:val="none"/>
        </w:rPr>
        <w:t>9.5.5地下水影响分析结论</w:t>
      </w:r>
      <w:bookmarkEnd w:id="1275"/>
    </w:p>
    <w:p>
      <w:pPr>
        <w:keepNext w:val="0"/>
        <w:keepLines w:val="0"/>
        <w:widowControl/>
        <w:suppressLineNumbers w:val="0"/>
        <w:jc w:val="left"/>
        <w:rPr>
          <w:rFonts w:hint="default"/>
          <w:color w:val="auto"/>
          <w:highlight w:val="none"/>
          <w:lang w:val="en-US"/>
        </w:rPr>
      </w:pPr>
      <w:r>
        <w:rPr>
          <w:color w:val="auto"/>
          <w:highlight w:val="none"/>
        </w:rPr>
        <w:t>由预测结果可知，当非正常工况下污水处理设施集水池发生因老化腐蚀造成跑冒滴漏，污水直接进入潜水含水层，造成地下水污染，污染程度与含水层的渗透性能、源强浓度、污水泄漏时间等有关。</w:t>
      </w:r>
      <w:r>
        <w:rPr>
          <w:rFonts w:hint="eastAsia"/>
          <w:color w:val="auto"/>
          <w:sz w:val="24"/>
          <w:highlight w:val="none"/>
        </w:rPr>
        <w:t>100天时，</w:t>
      </w:r>
      <w:r>
        <w:rPr>
          <w:rFonts w:hint="eastAsia"/>
          <w:color w:val="auto"/>
          <w:sz w:val="24"/>
          <w:highlight w:val="none"/>
          <w:lang w:val="en-US" w:eastAsia="zh-CN"/>
        </w:rPr>
        <w:t>COD</w:t>
      </w:r>
      <w:r>
        <w:rPr>
          <w:rFonts w:hint="eastAsia"/>
          <w:color w:val="auto"/>
          <w:sz w:val="24"/>
          <w:highlight w:val="none"/>
        </w:rPr>
        <w:t>下游最大浓度为：36.59mg/l，超标距离最远为23.162m，预测范围内的超标面积为372m</w:t>
      </w:r>
      <w:r>
        <w:rPr>
          <w:rFonts w:hint="eastAsia"/>
          <w:color w:val="auto"/>
          <w:sz w:val="24"/>
          <w:highlight w:val="none"/>
          <w:vertAlign w:val="superscript"/>
        </w:rPr>
        <w:t>2</w:t>
      </w:r>
      <w:r>
        <w:rPr>
          <w:rFonts w:hint="eastAsia"/>
          <w:color w:val="auto"/>
          <w:sz w:val="24"/>
          <w:highlight w:val="none"/>
        </w:rPr>
        <w:t>，影响距离最远为下游37.162m，预测范围内的影响面积为1020m</w:t>
      </w:r>
      <w:r>
        <w:rPr>
          <w:rFonts w:hint="eastAsia"/>
          <w:color w:val="auto"/>
          <w:sz w:val="24"/>
          <w:highlight w:val="none"/>
          <w:vertAlign w:val="superscript"/>
        </w:rPr>
        <w:t>2</w:t>
      </w:r>
      <w:r>
        <w:rPr>
          <w:rFonts w:hint="eastAsia"/>
          <w:color w:val="auto"/>
          <w:sz w:val="24"/>
          <w:highlight w:val="none"/>
          <w:lang w:val="en-US" w:eastAsia="zh-CN"/>
        </w:rPr>
        <w:t>,</w:t>
      </w:r>
      <w:r>
        <w:rPr>
          <w:rFonts w:hint="eastAsia"/>
          <w:color w:val="auto"/>
          <w:sz w:val="24"/>
          <w:highlight w:val="none"/>
        </w:rPr>
        <w:t>随着时间推移，中心点在向下游移动，中心点浓度逐渐减</w:t>
      </w:r>
      <w:r>
        <w:rPr>
          <w:rFonts w:hint="eastAsia"/>
          <w:color w:val="auto"/>
          <w:sz w:val="24"/>
          <w:highlight w:val="none"/>
          <w:lang w:eastAsia="zh-CN"/>
        </w:rPr>
        <w:t>，</w:t>
      </w:r>
      <w:r>
        <w:rPr>
          <w:rFonts w:hint="eastAsia"/>
          <w:color w:val="auto"/>
          <w:sz w:val="24"/>
          <w:highlight w:val="none"/>
        </w:rPr>
        <w:t>1000天时，下游最大浓度为：3.65mg/</w:t>
      </w:r>
      <w:r>
        <w:rPr>
          <w:rFonts w:hint="eastAsia"/>
          <w:color w:val="auto"/>
          <w:sz w:val="24"/>
          <w:highlight w:val="none"/>
          <w:lang w:val="en-US" w:eastAsia="zh-CN"/>
        </w:rPr>
        <w:t>L</w:t>
      </w:r>
      <w:r>
        <w:rPr>
          <w:rFonts w:hint="eastAsia"/>
          <w:color w:val="auto"/>
          <w:sz w:val="24"/>
          <w:highlight w:val="none"/>
        </w:rPr>
        <w:t>，超标距离最远为21.62m，预测范围内的超标面积为304m</w:t>
      </w:r>
      <w:r>
        <w:rPr>
          <w:rFonts w:hint="eastAsia"/>
          <w:color w:val="auto"/>
          <w:sz w:val="24"/>
          <w:highlight w:val="none"/>
          <w:vertAlign w:val="superscript"/>
        </w:rPr>
        <w:t>2</w:t>
      </w:r>
      <w:r>
        <w:rPr>
          <w:rFonts w:hint="eastAsia"/>
          <w:color w:val="auto"/>
          <w:sz w:val="24"/>
          <w:highlight w:val="none"/>
        </w:rPr>
        <w:t>，影响距离最远为下游94.62m，预测范围内的影响面积为2871m</w:t>
      </w:r>
      <w:r>
        <w:rPr>
          <w:rFonts w:hint="eastAsia"/>
          <w:color w:val="auto"/>
          <w:sz w:val="24"/>
          <w:highlight w:val="none"/>
          <w:vertAlign w:val="superscript"/>
          <w:lang w:val="en-US" w:eastAsia="zh-CN"/>
        </w:rPr>
        <w:t>2</w:t>
      </w:r>
      <w:r>
        <w:rPr>
          <w:rFonts w:hint="eastAsia"/>
          <w:color w:val="auto"/>
          <w:sz w:val="24"/>
          <w:highlight w:val="none"/>
          <w:lang w:val="en-US" w:eastAsia="zh-CN"/>
        </w:rPr>
        <w:t>。</w:t>
      </w:r>
    </w:p>
    <w:p>
      <w:pPr>
        <w:bidi w:val="0"/>
        <w:rPr>
          <w:color w:val="auto"/>
          <w:highlight w:val="none"/>
        </w:rPr>
      </w:pPr>
      <w:r>
        <w:rPr>
          <w:rFonts w:hint="eastAsia"/>
          <w:color w:val="auto"/>
          <w:sz w:val="24"/>
          <w:highlight w:val="none"/>
          <w:lang w:val="en-US" w:eastAsia="zh-CN"/>
        </w:rPr>
        <w:t>氨氮</w:t>
      </w:r>
      <w:r>
        <w:rPr>
          <w:rFonts w:hint="eastAsia"/>
          <w:color w:val="auto"/>
          <w:sz w:val="24"/>
          <w:highlight w:val="none"/>
        </w:rPr>
        <w:t>100天时，下游最大浓度为：0.196mg/</w:t>
      </w:r>
      <w:r>
        <w:rPr>
          <w:rFonts w:hint="eastAsia"/>
          <w:color w:val="auto"/>
          <w:sz w:val="24"/>
          <w:highlight w:val="none"/>
          <w:lang w:val="en-US" w:eastAsia="zh-CN"/>
        </w:rPr>
        <w:t>L</w:t>
      </w:r>
      <w:r>
        <w:rPr>
          <w:rFonts w:hint="eastAsia"/>
          <w:color w:val="auto"/>
          <w:sz w:val="24"/>
          <w:highlight w:val="none"/>
        </w:rPr>
        <w:t>，未超标，影响距离最远为下游21.162m，预测范围内的影响面积为311m</w:t>
      </w:r>
      <w:r>
        <w:rPr>
          <w:rFonts w:hint="eastAsia"/>
          <w:color w:val="auto"/>
          <w:sz w:val="24"/>
          <w:highlight w:val="none"/>
          <w:vertAlign w:val="superscript"/>
        </w:rPr>
        <w:t>2</w:t>
      </w:r>
      <w:r>
        <w:rPr>
          <w:rFonts w:hint="eastAsia"/>
          <w:color w:val="auto"/>
          <w:sz w:val="24"/>
          <w:highlight w:val="none"/>
          <w:lang w:eastAsia="zh-CN"/>
        </w:rPr>
        <w:t>。</w:t>
      </w:r>
      <w:r>
        <w:rPr>
          <w:rFonts w:hint="eastAsia"/>
          <w:color w:val="auto"/>
          <w:sz w:val="24"/>
          <w:highlight w:val="none"/>
        </w:rPr>
        <w:t>随着时间推移，中心点在向下游移动，中心点浓度逐渐减小，至1000d时，下游最大浓度为：0.0196mg/</w:t>
      </w:r>
      <w:r>
        <w:rPr>
          <w:rFonts w:hint="eastAsia"/>
          <w:color w:val="auto"/>
          <w:sz w:val="24"/>
          <w:highlight w:val="none"/>
          <w:lang w:val="en-US" w:eastAsia="zh-CN"/>
        </w:rPr>
        <w:t>L</w:t>
      </w:r>
      <w:r>
        <w:rPr>
          <w:rFonts w:hint="eastAsia"/>
          <w:color w:val="auto"/>
          <w:sz w:val="24"/>
          <w:highlight w:val="none"/>
        </w:rPr>
        <w:t>，未超标，最大值低于检出限</w:t>
      </w:r>
      <w:r>
        <w:rPr>
          <w:rFonts w:hint="eastAsia"/>
          <w:color w:val="auto"/>
          <w:sz w:val="24"/>
          <w:highlight w:val="none"/>
          <w:lang w:eastAsia="zh-CN"/>
        </w:rPr>
        <w:t>氨氮</w:t>
      </w:r>
      <w:r>
        <w:rPr>
          <w:rFonts w:hint="eastAsia"/>
          <w:color w:val="auto"/>
          <w:sz w:val="24"/>
          <w:highlight w:val="none"/>
        </w:rPr>
        <w:t>小于的标准限值</w:t>
      </w:r>
      <w:r>
        <w:rPr>
          <w:rFonts w:hint="eastAsia"/>
          <w:color w:val="auto"/>
          <w:sz w:val="24"/>
          <w:highlight w:val="none"/>
          <w:lang w:val="en-US" w:eastAsia="zh-CN"/>
        </w:rPr>
        <w:t>0.5</w:t>
      </w:r>
      <w:r>
        <w:rPr>
          <w:rFonts w:hint="eastAsia"/>
          <w:color w:val="auto"/>
          <w:sz w:val="24"/>
          <w:highlight w:val="none"/>
        </w:rPr>
        <w:t>mg/L，即</w:t>
      </w:r>
      <w:r>
        <w:rPr>
          <w:rFonts w:hint="eastAsia"/>
          <w:color w:val="auto"/>
          <w:sz w:val="24"/>
          <w:highlight w:val="none"/>
          <w:lang w:eastAsia="zh-CN"/>
        </w:rPr>
        <w:t>氨氮</w:t>
      </w:r>
      <w:r>
        <w:rPr>
          <w:rFonts w:hint="eastAsia"/>
          <w:color w:val="auto"/>
          <w:sz w:val="24"/>
          <w:highlight w:val="none"/>
        </w:rPr>
        <w:t>未超标。</w:t>
      </w:r>
      <w:r>
        <w:rPr>
          <w:color w:val="auto"/>
          <w:highlight w:val="none"/>
        </w:rPr>
        <w:t>当地地下水流向为东北向西南，本项目西南方向100d影响距离、1000d的影响距离范围内均无地下水敏感目标。</w:t>
      </w:r>
    </w:p>
    <w:p>
      <w:pPr>
        <w:bidi w:val="0"/>
        <w:rPr>
          <w:color w:val="auto"/>
          <w:highlight w:val="none"/>
        </w:rPr>
      </w:pPr>
      <w:r>
        <w:rPr>
          <w:rFonts w:hint="eastAsia"/>
          <w:color w:val="auto"/>
          <w:highlight w:val="none"/>
          <w:lang w:val="en-US" w:eastAsia="zh-CN"/>
        </w:rPr>
        <w:t>本项目</w:t>
      </w:r>
      <w:r>
        <w:rPr>
          <w:color w:val="auto"/>
          <w:highlight w:val="none"/>
        </w:rPr>
        <w:t>废水通过厂区废水处理站处理后</w:t>
      </w:r>
      <w:r>
        <w:rPr>
          <w:rFonts w:hint="eastAsia"/>
          <w:color w:val="auto"/>
          <w:highlight w:val="none"/>
          <w:lang w:val="en-US" w:eastAsia="zh-CN"/>
        </w:rPr>
        <w:t>会回用于生产</w:t>
      </w:r>
      <w:r>
        <w:rPr>
          <w:color w:val="auto"/>
          <w:highlight w:val="none"/>
        </w:rPr>
        <w:t>，在采取严格的污染防渗措施的前提下，对地下水环境影响较小。同时，该厂区地面采用水泥硬化，污水管网为明管，减少了地下水渗漏的概率。本项目在建设和运行过程中通过对可能产生地下水影响的各项途径进行有效预防，确保各项防渗措施得以落实，并加强维护和加强厂区环境管理的前提下，可有效控制项目废水污染物下渗现象，避免污染地下水，因此正常情况下本项目不会对区域地下水环境产生明显影响。</w:t>
      </w:r>
    </w:p>
    <w:p>
      <w:pPr>
        <w:bidi w:val="0"/>
        <w:rPr>
          <w:color w:val="auto"/>
          <w:highlight w:val="none"/>
        </w:rPr>
      </w:pPr>
      <w:r>
        <w:rPr>
          <w:color w:val="auto"/>
          <w:highlight w:val="none"/>
        </w:rPr>
        <w:t>综上所述，项目开工建设期做好防渗工作，避免非正常情况产生，并建立地下水环境监测管理体系，以便及时发现问题，采取措施，项目建成后不会对当地地下水产生影响。</w:t>
      </w:r>
    </w:p>
    <w:p>
      <w:pPr>
        <w:pStyle w:val="7"/>
        <w:bidi w:val="0"/>
        <w:rPr>
          <w:rFonts w:ascii="Times New Roman" w:hAnsi="Times New Roman" w:eastAsia="宋体" w:cs="Times New Roman"/>
          <w:color w:val="auto"/>
          <w:highlight w:val="none"/>
        </w:rPr>
      </w:pPr>
      <w:bookmarkStart w:id="1276" w:name="_Toc67"/>
      <w:r>
        <w:rPr>
          <w:rFonts w:ascii="Times New Roman" w:hAnsi="Times New Roman" w:eastAsia="宋体" w:cs="Times New Roman"/>
          <w:color w:val="auto"/>
          <w:highlight w:val="none"/>
        </w:rPr>
        <w:t>9.</w:t>
      </w:r>
      <w:r>
        <w:rPr>
          <w:rFonts w:hint="eastAsia" w:ascii="Times New Roman" w:hAnsi="Times New Roman" w:eastAsia="宋体" w:cs="Times New Roman"/>
          <w:color w:val="auto"/>
          <w:highlight w:val="none"/>
          <w:lang w:val="en-US" w:eastAsia="zh-CN"/>
        </w:rPr>
        <w:t>5</w:t>
      </w:r>
      <w:r>
        <w:rPr>
          <w:rFonts w:ascii="Times New Roman" w:hAnsi="Times New Roman" w:eastAsia="宋体" w:cs="Times New Roman"/>
          <w:color w:val="auto"/>
          <w:highlight w:val="none"/>
        </w:rPr>
        <w:t>.6环境风险</w:t>
      </w:r>
      <w:bookmarkEnd w:id="1276"/>
    </w:p>
    <w:p>
      <w:pPr>
        <w:bidi w:val="0"/>
        <w:rPr>
          <w:color w:val="auto"/>
          <w:highlight w:val="none"/>
        </w:rPr>
      </w:pPr>
      <w:r>
        <w:rPr>
          <w:color w:val="auto"/>
          <w:highlight w:val="none"/>
        </w:rPr>
        <w:t>本工程具有潜在的事故风险，尽管最大可信灾害事故概率较小，但要从建设、生产、贮运等各方面积极采取防护措施，这是确保安全的根本措施；为了防范事故和减少危害，需要制定灾害事故的应急预案。当出现事故时，要采取紧急的应急措施，以控制事故和减少对环境造成的危害。</w:t>
      </w:r>
    </w:p>
    <w:p>
      <w:pPr>
        <w:pStyle w:val="7"/>
        <w:bidi w:val="0"/>
        <w:rPr>
          <w:rFonts w:ascii="Times New Roman" w:hAnsi="Times New Roman" w:eastAsia="宋体" w:cs="Times New Roman"/>
          <w:color w:val="auto"/>
          <w:highlight w:val="none"/>
        </w:rPr>
      </w:pPr>
      <w:bookmarkStart w:id="1277" w:name="_Toc29313"/>
      <w:r>
        <w:rPr>
          <w:rFonts w:ascii="Times New Roman" w:hAnsi="Times New Roman" w:eastAsia="宋体" w:cs="Times New Roman"/>
          <w:color w:val="auto"/>
          <w:highlight w:val="none"/>
        </w:rPr>
        <w:t>9.</w:t>
      </w:r>
      <w:r>
        <w:rPr>
          <w:rFonts w:hint="eastAsia" w:ascii="Times New Roman" w:hAnsi="Times New Roman" w:eastAsia="宋体" w:cs="Times New Roman"/>
          <w:color w:val="auto"/>
          <w:highlight w:val="none"/>
          <w:lang w:val="en-US" w:eastAsia="zh-CN"/>
        </w:rPr>
        <w:t>5</w:t>
      </w:r>
      <w:r>
        <w:rPr>
          <w:rFonts w:ascii="Times New Roman" w:hAnsi="Times New Roman" w:eastAsia="宋体" w:cs="Times New Roman"/>
          <w:color w:val="auto"/>
          <w:highlight w:val="none"/>
        </w:rPr>
        <w:t>.7土壤影响</w:t>
      </w:r>
      <w:bookmarkEnd w:id="1277"/>
    </w:p>
    <w:p>
      <w:pPr>
        <w:bidi w:val="0"/>
        <w:rPr>
          <w:color w:val="auto"/>
          <w:highlight w:val="none"/>
        </w:rPr>
      </w:pPr>
      <w:r>
        <w:rPr>
          <w:color w:val="auto"/>
          <w:highlight w:val="none"/>
        </w:rPr>
        <w:t>为防止事故状态对土壤的污染，减少项目运行过程中对土壤环境的不利影响，项目厂区将采取一系列防范措施</w:t>
      </w:r>
      <w:r>
        <w:rPr>
          <w:rFonts w:hint="eastAsia"/>
          <w:color w:val="auto"/>
          <w:highlight w:val="none"/>
          <w:lang w:eastAsia="zh-CN"/>
        </w:rPr>
        <w:t>（</w:t>
      </w:r>
      <w:r>
        <w:rPr>
          <w:color w:val="auto"/>
          <w:highlight w:val="none"/>
        </w:rPr>
        <w:t>详见第6章污染防治措施），如危险废物严格按要求 进行暂存、控制项目</w:t>
      </w:r>
      <w:r>
        <w:rPr>
          <w:rFonts w:hint="eastAsia"/>
          <w:color w:val="auto"/>
          <w:highlight w:val="none"/>
          <w:lang w:eastAsia="zh-CN"/>
        </w:rPr>
        <w:t>“</w:t>
      </w:r>
      <w:r>
        <w:rPr>
          <w:color w:val="auto"/>
          <w:highlight w:val="none"/>
        </w:rPr>
        <w:t>三废</w:t>
      </w:r>
      <w:r>
        <w:rPr>
          <w:rFonts w:hint="eastAsia"/>
          <w:color w:val="auto"/>
          <w:highlight w:val="none"/>
          <w:lang w:eastAsia="zh-CN"/>
        </w:rPr>
        <w:t>”</w:t>
      </w:r>
      <w:r>
        <w:rPr>
          <w:color w:val="auto"/>
          <w:highlight w:val="none"/>
        </w:rPr>
        <w:t>的排放、厂区分级防渗建设等，在采取这些措施的基础上，项目所产生污染物对土壤环境的不利影响将减至最小，对土壤环境的影响不大。</w:t>
      </w:r>
    </w:p>
    <w:p>
      <w:pPr>
        <w:pStyle w:val="6"/>
        <w:bidi w:val="0"/>
        <w:rPr>
          <w:color w:val="auto"/>
          <w:highlight w:val="none"/>
        </w:rPr>
      </w:pPr>
      <w:bookmarkStart w:id="1278" w:name="_Toc10978"/>
      <w:bookmarkStart w:id="1279" w:name="_Toc7462"/>
      <w:r>
        <w:rPr>
          <w:color w:val="auto"/>
          <w:highlight w:val="none"/>
        </w:rPr>
        <w:t>9.</w:t>
      </w:r>
      <w:r>
        <w:rPr>
          <w:rFonts w:hint="eastAsia"/>
          <w:color w:val="auto"/>
          <w:highlight w:val="none"/>
          <w:lang w:val="en-US" w:eastAsia="zh-CN"/>
        </w:rPr>
        <w:t>6</w:t>
      </w:r>
      <w:r>
        <w:rPr>
          <w:color w:val="auto"/>
          <w:highlight w:val="none"/>
        </w:rPr>
        <w:t>清洁生产评价结论</w:t>
      </w:r>
      <w:bookmarkEnd w:id="1278"/>
      <w:bookmarkEnd w:id="1279"/>
    </w:p>
    <w:p>
      <w:pPr>
        <w:bidi w:val="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本项目清洁生产评价采用</w:t>
      </w:r>
      <w:r>
        <w:rPr>
          <w:rFonts w:hint="eastAsia" w:ascii="Times New Roman" w:hAnsi="Times New Roman" w:eastAsia="宋体" w:cs="Times New Roman"/>
          <w:color w:val="auto"/>
          <w:highlight w:val="none"/>
          <w:lang w:eastAsia="zh-CN"/>
        </w:rPr>
        <w:t>《制浆造纸行业清洁生产评价指标体系》（国家发展改革委2015年第9号公告）</w:t>
      </w:r>
      <w:r>
        <w:rPr>
          <w:rFonts w:ascii="Times New Roman" w:hAnsi="Times New Roman" w:eastAsia="宋体" w:cs="Times New Roman"/>
          <w:color w:val="auto"/>
          <w:highlight w:val="none"/>
        </w:rPr>
        <w:t>评价标准，本项目的清洁生产综合评价指标为二级，该项目的建设符合清洁生产要求。</w:t>
      </w:r>
    </w:p>
    <w:p>
      <w:pPr>
        <w:pStyle w:val="6"/>
        <w:bidi w:val="0"/>
        <w:rPr>
          <w:color w:val="auto"/>
          <w:highlight w:val="none"/>
        </w:rPr>
      </w:pPr>
      <w:bookmarkStart w:id="1280" w:name="_Toc17742"/>
      <w:bookmarkStart w:id="1281" w:name="_Toc8742"/>
      <w:r>
        <w:rPr>
          <w:color w:val="auto"/>
          <w:highlight w:val="none"/>
        </w:rPr>
        <w:t>9.</w:t>
      </w:r>
      <w:r>
        <w:rPr>
          <w:rFonts w:hint="eastAsia"/>
          <w:color w:val="auto"/>
          <w:highlight w:val="none"/>
          <w:lang w:val="en-US" w:eastAsia="zh-CN"/>
        </w:rPr>
        <w:t>7</w:t>
      </w:r>
      <w:r>
        <w:rPr>
          <w:color w:val="auto"/>
          <w:highlight w:val="none"/>
        </w:rPr>
        <w:t>环境经济损益分析结论</w:t>
      </w:r>
      <w:bookmarkEnd w:id="1280"/>
      <w:bookmarkEnd w:id="1281"/>
    </w:p>
    <w:p>
      <w:pPr>
        <w:bidi w:val="0"/>
        <w:rPr>
          <w:color w:val="auto"/>
          <w:highlight w:val="none"/>
        </w:rPr>
      </w:pPr>
      <w:r>
        <w:rPr>
          <w:color w:val="auto"/>
          <w:highlight w:val="none"/>
        </w:rPr>
        <w:t>本项目</w:t>
      </w:r>
      <w:r>
        <w:rPr>
          <w:rFonts w:hint="eastAsia"/>
          <w:color w:val="auto"/>
          <w:highlight w:val="none"/>
        </w:rPr>
        <w:t>以漂白针叶木浆和</w:t>
      </w:r>
      <w:r>
        <w:rPr>
          <w:rFonts w:hint="eastAsia"/>
          <w:color w:val="auto"/>
          <w:highlight w:val="none"/>
          <w:lang w:eastAsia="zh-CN"/>
        </w:rPr>
        <w:t>木浆成份纸板</w:t>
      </w:r>
      <w:r>
        <w:rPr>
          <w:rFonts w:hint="eastAsia"/>
          <w:color w:val="auto"/>
          <w:highlight w:val="none"/>
        </w:rPr>
        <w:t>为原料，年生产薄页纸、特种纸、纸板共1万吨。</w:t>
      </w:r>
      <w:r>
        <w:rPr>
          <w:color w:val="auto"/>
          <w:highlight w:val="none"/>
        </w:rPr>
        <w:t>各项污染物均能达标排放，且项目建成后可节约能源、消纳城市垃圾，保护环境，总体来说，本项目的建设具有较好的环境效益。</w:t>
      </w:r>
    </w:p>
    <w:p>
      <w:pPr>
        <w:pStyle w:val="6"/>
        <w:bidi w:val="0"/>
        <w:rPr>
          <w:color w:val="auto"/>
          <w:highlight w:val="none"/>
        </w:rPr>
      </w:pPr>
      <w:bookmarkStart w:id="1282" w:name="_Toc4095"/>
      <w:bookmarkStart w:id="1283" w:name="_Toc3270"/>
      <w:r>
        <w:rPr>
          <w:color w:val="auto"/>
          <w:highlight w:val="none"/>
        </w:rPr>
        <w:t>9.</w:t>
      </w:r>
      <w:r>
        <w:rPr>
          <w:rFonts w:hint="eastAsia"/>
          <w:color w:val="auto"/>
          <w:highlight w:val="none"/>
          <w:lang w:val="en-US" w:eastAsia="zh-CN"/>
        </w:rPr>
        <w:t>8</w:t>
      </w:r>
      <w:r>
        <w:rPr>
          <w:color w:val="auto"/>
          <w:highlight w:val="none"/>
        </w:rPr>
        <w:t>环境管理与监测计划</w:t>
      </w:r>
      <w:bookmarkEnd w:id="1282"/>
      <w:bookmarkEnd w:id="1283"/>
    </w:p>
    <w:p>
      <w:pPr>
        <w:bidi w:val="0"/>
        <w:rPr>
          <w:color w:val="auto"/>
          <w:highlight w:val="none"/>
        </w:rPr>
      </w:pPr>
      <w:r>
        <w:rPr>
          <w:color w:val="auto"/>
          <w:highlight w:val="none"/>
        </w:rPr>
        <w:t>本项目运营期严格按照环境管理和监测计划章节提出管理要求和监测计划进行，可及时了解项目在运行期对环境影响的范围和程度，以便采取相应的措施，确保项目建设不会对周围环境产生明显影响。</w:t>
      </w:r>
    </w:p>
    <w:p>
      <w:pPr>
        <w:pStyle w:val="6"/>
        <w:bidi w:val="0"/>
        <w:rPr>
          <w:rFonts w:ascii="Times New Roman" w:hAnsi="Times New Roman" w:eastAsia="宋体" w:cs="Times New Roman"/>
          <w:color w:val="auto"/>
          <w:highlight w:val="none"/>
        </w:rPr>
      </w:pPr>
      <w:bookmarkStart w:id="1284" w:name="_Toc5006"/>
      <w:bookmarkStart w:id="1285" w:name="_Toc29732"/>
      <w:r>
        <w:rPr>
          <w:rFonts w:ascii="Times New Roman" w:hAnsi="Times New Roman" w:eastAsia="宋体" w:cs="Times New Roman"/>
          <w:color w:val="auto"/>
          <w:highlight w:val="none"/>
        </w:rPr>
        <w:t>9.</w:t>
      </w:r>
      <w:bookmarkEnd w:id="1284"/>
      <w:r>
        <w:rPr>
          <w:rFonts w:hint="eastAsia" w:ascii="Times New Roman" w:hAnsi="Times New Roman" w:eastAsia="宋体" w:cs="Times New Roman"/>
          <w:color w:val="auto"/>
          <w:highlight w:val="none"/>
          <w:lang w:val="en-US" w:eastAsia="zh-CN"/>
        </w:rPr>
        <w:t>9</w:t>
      </w:r>
      <w:r>
        <w:rPr>
          <w:rFonts w:ascii="Times New Roman" w:hAnsi="Times New Roman" w:eastAsia="宋体" w:cs="Times New Roman"/>
          <w:color w:val="auto"/>
          <w:highlight w:val="none"/>
        </w:rPr>
        <w:t>总量控制</w:t>
      </w:r>
      <w:bookmarkEnd w:id="1285"/>
    </w:p>
    <w:p>
      <w:pPr>
        <w:bidi w:val="0"/>
        <w:rPr>
          <w:color w:val="auto"/>
          <w:highlight w:val="none"/>
        </w:rPr>
      </w:pPr>
      <w:r>
        <w:rPr>
          <w:color w:val="auto"/>
          <w:highlight w:val="none"/>
        </w:rPr>
        <w:t>根据工程分析可知，本项目污染物排放量：颗粒物</w:t>
      </w:r>
      <w:r>
        <w:rPr>
          <w:rFonts w:hint="eastAsia"/>
          <w:color w:val="auto"/>
          <w:highlight w:val="none"/>
          <w:lang w:val="en-US" w:eastAsia="zh-CN"/>
        </w:rPr>
        <w:t>0.00625</w:t>
      </w:r>
      <w:r>
        <w:rPr>
          <w:color w:val="auto"/>
          <w:highlight w:val="none"/>
        </w:rPr>
        <w:t>t/a，二氧化硫</w:t>
      </w:r>
      <w:r>
        <w:rPr>
          <w:rFonts w:hint="eastAsia"/>
          <w:color w:val="auto"/>
          <w:highlight w:val="none"/>
          <w:lang w:val="en-US" w:eastAsia="zh-CN"/>
        </w:rPr>
        <w:t>1.41</w:t>
      </w:r>
      <w:r>
        <w:rPr>
          <w:color w:val="auto"/>
          <w:highlight w:val="none"/>
        </w:rPr>
        <w:t>t/a，氮氧化物</w:t>
      </w:r>
      <w:r>
        <w:rPr>
          <w:rFonts w:hint="eastAsia"/>
          <w:color w:val="auto"/>
          <w:highlight w:val="none"/>
          <w:lang w:val="en-US" w:eastAsia="zh-CN"/>
        </w:rPr>
        <w:t>4.25</w:t>
      </w:r>
      <w:r>
        <w:rPr>
          <w:color w:val="auto"/>
          <w:highlight w:val="none"/>
        </w:rPr>
        <w:t>t/a。</w:t>
      </w:r>
    </w:p>
    <w:p>
      <w:pPr>
        <w:pStyle w:val="6"/>
        <w:bidi w:val="0"/>
        <w:rPr>
          <w:color w:val="auto"/>
          <w:highlight w:val="none"/>
        </w:rPr>
      </w:pPr>
      <w:bookmarkStart w:id="1286" w:name="_Toc17261"/>
      <w:bookmarkStart w:id="1287" w:name="_Toc4602"/>
      <w:r>
        <w:rPr>
          <w:color w:val="auto"/>
          <w:highlight w:val="none"/>
        </w:rPr>
        <w:t>9.</w:t>
      </w:r>
      <w:r>
        <w:rPr>
          <w:rFonts w:hint="eastAsia"/>
          <w:color w:val="auto"/>
          <w:highlight w:val="none"/>
          <w:lang w:val="en-US" w:eastAsia="zh-CN"/>
        </w:rPr>
        <w:t>10</w:t>
      </w:r>
      <w:r>
        <w:rPr>
          <w:color w:val="auto"/>
          <w:highlight w:val="none"/>
        </w:rPr>
        <w:t>公众意见采纳情况</w:t>
      </w:r>
      <w:bookmarkEnd w:id="1286"/>
      <w:bookmarkEnd w:id="1287"/>
    </w:p>
    <w:p>
      <w:pPr>
        <w:bidi w:val="0"/>
        <w:rPr>
          <w:rFonts w:hint="default"/>
          <w:color w:val="auto"/>
          <w:sz w:val="24"/>
          <w:highlight w:val="none"/>
        </w:rPr>
      </w:pPr>
      <w:r>
        <w:rPr>
          <w:rFonts w:hint="default"/>
          <w:color w:val="auto"/>
          <w:sz w:val="24"/>
          <w:highlight w:val="none"/>
        </w:rPr>
        <w:t>本项目首次环境影响评价信息公开之日为2021年</w:t>
      </w:r>
      <w:r>
        <w:rPr>
          <w:rFonts w:hint="eastAsia"/>
          <w:color w:val="auto"/>
          <w:sz w:val="24"/>
          <w:highlight w:val="none"/>
          <w:lang w:val="en-US" w:eastAsia="zh-CN"/>
        </w:rPr>
        <w:t>1</w:t>
      </w:r>
      <w:r>
        <w:rPr>
          <w:rFonts w:hint="default"/>
          <w:color w:val="auto"/>
          <w:sz w:val="24"/>
          <w:highlight w:val="none"/>
        </w:rPr>
        <w:t>月</w:t>
      </w:r>
      <w:r>
        <w:rPr>
          <w:rFonts w:hint="eastAsia"/>
          <w:color w:val="auto"/>
          <w:sz w:val="24"/>
          <w:highlight w:val="none"/>
          <w:lang w:val="en-US" w:eastAsia="zh-CN"/>
        </w:rPr>
        <w:t>20</w:t>
      </w:r>
      <w:r>
        <w:rPr>
          <w:rFonts w:hint="default"/>
          <w:color w:val="auto"/>
          <w:sz w:val="24"/>
          <w:highlight w:val="none"/>
        </w:rPr>
        <w:t>日</w:t>
      </w:r>
      <w:r>
        <w:rPr>
          <w:rFonts w:hint="eastAsia"/>
          <w:color w:val="auto"/>
          <w:sz w:val="24"/>
          <w:highlight w:val="none"/>
          <w:lang w:eastAsia="zh-CN"/>
        </w:rPr>
        <w:t>（</w:t>
      </w:r>
      <w:r>
        <w:rPr>
          <w:rFonts w:hint="default"/>
          <w:color w:val="auto"/>
          <w:sz w:val="24"/>
          <w:highlight w:val="none"/>
        </w:rPr>
        <w:fldChar w:fldCharType="begin"/>
      </w:r>
      <w:r>
        <w:rPr>
          <w:rFonts w:hint="default"/>
          <w:color w:val="auto"/>
          <w:sz w:val="24"/>
          <w:highlight w:val="none"/>
        </w:rPr>
        <w:instrText xml:space="preserve"> HYPERLINK "http://www.yonqon.com/jsw/" </w:instrText>
      </w:r>
      <w:r>
        <w:rPr>
          <w:rFonts w:hint="default"/>
          <w:color w:val="auto"/>
          <w:sz w:val="24"/>
          <w:highlight w:val="none"/>
        </w:rPr>
        <w:fldChar w:fldCharType="separate"/>
      </w:r>
      <w:r>
        <w:rPr>
          <w:rFonts w:hint="default"/>
          <w:color w:val="auto"/>
          <w:sz w:val="24"/>
          <w:highlight w:val="none"/>
        </w:rPr>
        <w:t>黑龙江安全环保技术资讯网</w:t>
      </w:r>
      <w:r>
        <w:rPr>
          <w:rFonts w:hint="default"/>
          <w:color w:val="auto"/>
          <w:sz w:val="24"/>
          <w:highlight w:val="none"/>
        </w:rPr>
        <w:fldChar w:fldCharType="end"/>
      </w:r>
      <w:r>
        <w:rPr>
          <w:rFonts w:hint="default"/>
          <w:color w:val="auto"/>
          <w:sz w:val="24"/>
          <w:highlight w:val="none"/>
        </w:rPr>
        <w:t>http://www.yonqon.com/jsw/huanpinggongshi/73.html）。</w:t>
      </w:r>
    </w:p>
    <w:p>
      <w:pPr>
        <w:bidi w:val="0"/>
        <w:rPr>
          <w:rFonts w:hint="default"/>
          <w:color w:val="auto"/>
          <w:sz w:val="24"/>
          <w:highlight w:val="none"/>
        </w:rPr>
      </w:pPr>
      <w:r>
        <w:rPr>
          <w:rFonts w:hint="default"/>
          <w:color w:val="auto"/>
          <w:sz w:val="24"/>
          <w:highlight w:val="none"/>
        </w:rPr>
        <w:t>征求意见稿公示日期为202</w:t>
      </w:r>
      <w:r>
        <w:rPr>
          <w:rFonts w:hint="eastAsia"/>
          <w:color w:val="auto"/>
          <w:sz w:val="24"/>
          <w:highlight w:val="none"/>
          <w:lang w:val="en-US" w:eastAsia="zh-CN"/>
        </w:rPr>
        <w:t>2</w:t>
      </w:r>
      <w:r>
        <w:rPr>
          <w:rFonts w:hint="default"/>
          <w:color w:val="auto"/>
          <w:sz w:val="24"/>
          <w:highlight w:val="none"/>
        </w:rPr>
        <w:t>年</w:t>
      </w:r>
      <w:r>
        <w:rPr>
          <w:rFonts w:hint="eastAsia"/>
          <w:color w:val="auto"/>
          <w:sz w:val="24"/>
          <w:highlight w:val="none"/>
          <w:lang w:val="en-US" w:eastAsia="zh-CN"/>
        </w:rPr>
        <w:t>2</w:t>
      </w:r>
      <w:r>
        <w:rPr>
          <w:rFonts w:hint="default"/>
          <w:color w:val="auto"/>
          <w:sz w:val="24"/>
          <w:highlight w:val="none"/>
        </w:rPr>
        <w:t>月</w:t>
      </w:r>
      <w:r>
        <w:rPr>
          <w:rFonts w:hint="eastAsia"/>
          <w:color w:val="auto"/>
          <w:sz w:val="24"/>
          <w:highlight w:val="none"/>
          <w:lang w:val="en-US" w:eastAsia="zh-CN"/>
        </w:rPr>
        <w:t>24</w:t>
      </w:r>
      <w:r>
        <w:rPr>
          <w:rFonts w:hint="default"/>
          <w:color w:val="auto"/>
          <w:sz w:val="24"/>
          <w:highlight w:val="none"/>
        </w:rPr>
        <w:t>日</w:t>
      </w:r>
      <w:r>
        <w:rPr>
          <w:rFonts w:hint="eastAsia"/>
          <w:color w:val="auto"/>
          <w:sz w:val="24"/>
          <w:highlight w:val="none"/>
          <w:lang w:eastAsia="zh-CN"/>
        </w:rPr>
        <w:t>（</w:t>
      </w:r>
      <w:r>
        <w:rPr>
          <w:rFonts w:hint="default"/>
          <w:color w:val="auto"/>
          <w:sz w:val="24"/>
          <w:highlight w:val="none"/>
        </w:rPr>
        <w:fldChar w:fldCharType="begin"/>
      </w:r>
      <w:r>
        <w:rPr>
          <w:rFonts w:hint="default"/>
          <w:color w:val="auto"/>
          <w:sz w:val="24"/>
          <w:highlight w:val="none"/>
        </w:rPr>
        <w:instrText xml:space="preserve"> HYPERLINK "http://www.yonqon.com/jsw/" </w:instrText>
      </w:r>
      <w:r>
        <w:rPr>
          <w:rFonts w:hint="default"/>
          <w:color w:val="auto"/>
          <w:sz w:val="24"/>
          <w:highlight w:val="none"/>
        </w:rPr>
        <w:fldChar w:fldCharType="separate"/>
      </w:r>
      <w:r>
        <w:rPr>
          <w:rFonts w:hint="default"/>
          <w:color w:val="auto"/>
          <w:sz w:val="24"/>
          <w:highlight w:val="none"/>
        </w:rPr>
        <w:t>黑龙江安全环保技术资讯网</w:t>
      </w:r>
      <w:r>
        <w:rPr>
          <w:rFonts w:hint="default"/>
          <w:color w:val="auto"/>
          <w:sz w:val="24"/>
          <w:highlight w:val="none"/>
        </w:rPr>
        <w:fldChar w:fldCharType="end"/>
      </w:r>
      <w:r>
        <w:rPr>
          <w:rFonts w:hint="default"/>
          <w:color w:val="auto"/>
          <w:sz w:val="24"/>
          <w:highlight w:val="none"/>
        </w:rPr>
        <w:t>http://www.yonqon.com/jsw/huanpinggongshi/74.html）；</w:t>
      </w:r>
    </w:p>
    <w:p>
      <w:pPr>
        <w:bidi w:val="0"/>
        <w:rPr>
          <w:rFonts w:hint="default"/>
          <w:color w:val="auto"/>
          <w:sz w:val="24"/>
          <w:highlight w:val="none"/>
        </w:rPr>
      </w:pPr>
      <w:r>
        <w:rPr>
          <w:rFonts w:hint="default"/>
          <w:color w:val="auto"/>
          <w:sz w:val="24"/>
          <w:highlight w:val="none"/>
        </w:rPr>
        <w:t>报纸第一次公告日期为202</w:t>
      </w:r>
      <w:r>
        <w:rPr>
          <w:rFonts w:hint="eastAsia"/>
          <w:color w:val="auto"/>
          <w:sz w:val="24"/>
          <w:highlight w:val="none"/>
          <w:lang w:val="en-US" w:eastAsia="zh-CN"/>
        </w:rPr>
        <w:t>2</w:t>
      </w:r>
      <w:r>
        <w:rPr>
          <w:rFonts w:hint="default"/>
          <w:color w:val="auto"/>
          <w:sz w:val="24"/>
          <w:highlight w:val="none"/>
        </w:rPr>
        <w:t>年</w:t>
      </w:r>
      <w:r>
        <w:rPr>
          <w:rFonts w:hint="eastAsia"/>
          <w:color w:val="auto"/>
          <w:sz w:val="24"/>
          <w:highlight w:val="none"/>
          <w:lang w:val="en-US" w:eastAsia="zh-CN"/>
        </w:rPr>
        <w:t>3</w:t>
      </w:r>
      <w:r>
        <w:rPr>
          <w:rFonts w:hint="default"/>
          <w:color w:val="auto"/>
          <w:sz w:val="24"/>
          <w:highlight w:val="none"/>
        </w:rPr>
        <w:t>月</w:t>
      </w:r>
      <w:r>
        <w:rPr>
          <w:rFonts w:hint="eastAsia"/>
          <w:color w:val="auto"/>
          <w:sz w:val="24"/>
          <w:highlight w:val="none"/>
          <w:lang w:val="en-US" w:eastAsia="zh-CN"/>
        </w:rPr>
        <w:t>1</w:t>
      </w:r>
      <w:r>
        <w:rPr>
          <w:rFonts w:hint="default"/>
          <w:color w:val="auto"/>
          <w:sz w:val="24"/>
          <w:highlight w:val="none"/>
        </w:rPr>
        <w:t>日</w:t>
      </w:r>
      <w:r>
        <w:rPr>
          <w:rFonts w:hint="eastAsia"/>
          <w:color w:val="auto"/>
          <w:sz w:val="24"/>
          <w:highlight w:val="none"/>
          <w:lang w:eastAsia="zh-CN"/>
        </w:rPr>
        <w:t>（</w:t>
      </w:r>
      <w:r>
        <w:rPr>
          <w:rFonts w:hint="default"/>
          <w:color w:val="auto"/>
          <w:sz w:val="24"/>
          <w:highlight w:val="none"/>
        </w:rPr>
        <w:t>大庆油田报），报纸第二次公告日期为202</w:t>
      </w:r>
      <w:r>
        <w:rPr>
          <w:rFonts w:hint="eastAsia"/>
          <w:color w:val="auto"/>
          <w:sz w:val="24"/>
          <w:highlight w:val="none"/>
          <w:lang w:val="en-US" w:eastAsia="zh-CN"/>
        </w:rPr>
        <w:t>2</w:t>
      </w:r>
      <w:r>
        <w:rPr>
          <w:rFonts w:hint="default"/>
          <w:color w:val="auto"/>
          <w:sz w:val="24"/>
          <w:highlight w:val="none"/>
        </w:rPr>
        <w:t>年</w:t>
      </w:r>
      <w:r>
        <w:rPr>
          <w:rFonts w:hint="eastAsia"/>
          <w:color w:val="auto"/>
          <w:sz w:val="24"/>
          <w:highlight w:val="none"/>
          <w:lang w:val="en-US" w:eastAsia="zh-CN"/>
        </w:rPr>
        <w:t>3</w:t>
      </w:r>
      <w:r>
        <w:rPr>
          <w:rFonts w:hint="default"/>
          <w:color w:val="auto"/>
          <w:sz w:val="24"/>
          <w:highlight w:val="none"/>
        </w:rPr>
        <w:t>月</w:t>
      </w:r>
      <w:r>
        <w:rPr>
          <w:rFonts w:hint="eastAsia"/>
          <w:color w:val="auto"/>
          <w:sz w:val="24"/>
          <w:highlight w:val="none"/>
          <w:lang w:val="en-US" w:eastAsia="zh-CN"/>
        </w:rPr>
        <w:t>9</w:t>
      </w:r>
      <w:r>
        <w:rPr>
          <w:rFonts w:hint="default"/>
          <w:color w:val="auto"/>
          <w:sz w:val="24"/>
          <w:highlight w:val="none"/>
        </w:rPr>
        <w:t>日</w:t>
      </w:r>
      <w:r>
        <w:rPr>
          <w:rFonts w:hint="eastAsia"/>
          <w:color w:val="auto"/>
          <w:sz w:val="24"/>
          <w:highlight w:val="none"/>
          <w:lang w:eastAsia="zh-CN"/>
        </w:rPr>
        <w:t>（</w:t>
      </w:r>
      <w:r>
        <w:rPr>
          <w:rFonts w:hint="default"/>
          <w:color w:val="auto"/>
          <w:sz w:val="24"/>
          <w:highlight w:val="none"/>
        </w:rPr>
        <w:t>大庆油田报）；</w:t>
      </w:r>
    </w:p>
    <w:p>
      <w:pPr>
        <w:bidi w:val="0"/>
        <w:rPr>
          <w:rFonts w:hint="default"/>
          <w:color w:val="auto"/>
          <w:sz w:val="24"/>
          <w:highlight w:val="none"/>
        </w:rPr>
      </w:pPr>
      <w:r>
        <w:rPr>
          <w:rFonts w:hint="default"/>
          <w:color w:val="auto"/>
          <w:sz w:val="24"/>
          <w:highlight w:val="none"/>
        </w:rPr>
        <w:t>现场张贴公示日期为202</w:t>
      </w:r>
      <w:r>
        <w:rPr>
          <w:rFonts w:hint="eastAsia"/>
          <w:color w:val="auto"/>
          <w:sz w:val="24"/>
          <w:highlight w:val="none"/>
          <w:lang w:val="en-US" w:eastAsia="zh-CN"/>
        </w:rPr>
        <w:t>2</w:t>
      </w:r>
      <w:r>
        <w:rPr>
          <w:rFonts w:hint="default"/>
          <w:color w:val="auto"/>
          <w:sz w:val="24"/>
          <w:highlight w:val="none"/>
        </w:rPr>
        <w:t>年</w:t>
      </w:r>
      <w:r>
        <w:rPr>
          <w:rFonts w:hint="eastAsia"/>
          <w:color w:val="auto"/>
          <w:sz w:val="24"/>
          <w:highlight w:val="none"/>
          <w:lang w:val="en-US" w:eastAsia="zh-CN"/>
        </w:rPr>
        <w:t>2</w:t>
      </w:r>
      <w:r>
        <w:rPr>
          <w:rFonts w:hint="default"/>
          <w:color w:val="auto"/>
          <w:sz w:val="24"/>
          <w:highlight w:val="none"/>
        </w:rPr>
        <w:t>月</w:t>
      </w:r>
      <w:r>
        <w:rPr>
          <w:rFonts w:hint="eastAsia"/>
          <w:color w:val="auto"/>
          <w:sz w:val="24"/>
          <w:highlight w:val="none"/>
          <w:lang w:val="en-US" w:eastAsia="zh-CN"/>
        </w:rPr>
        <w:t>25</w:t>
      </w:r>
      <w:r>
        <w:rPr>
          <w:rFonts w:hint="default"/>
          <w:color w:val="auto"/>
          <w:sz w:val="24"/>
          <w:highlight w:val="none"/>
        </w:rPr>
        <w:t>日，公示地点为</w:t>
      </w:r>
      <w:r>
        <w:rPr>
          <w:rFonts w:hint="eastAsia"/>
          <w:color w:val="auto"/>
          <w:sz w:val="24"/>
          <w:highlight w:val="none"/>
          <w:lang w:eastAsia="zh-CN"/>
        </w:rPr>
        <w:t>后桥家围子屯</w:t>
      </w:r>
      <w:r>
        <w:rPr>
          <w:rFonts w:hint="default"/>
          <w:color w:val="auto"/>
          <w:sz w:val="24"/>
          <w:highlight w:val="none"/>
        </w:rPr>
        <w:t>。</w:t>
      </w:r>
    </w:p>
    <w:p>
      <w:pPr>
        <w:bidi w:val="0"/>
        <w:rPr>
          <w:rFonts w:hint="default"/>
          <w:color w:val="auto"/>
          <w:sz w:val="24"/>
          <w:highlight w:val="none"/>
        </w:rPr>
      </w:pPr>
      <w:r>
        <w:rPr>
          <w:rFonts w:hint="default"/>
          <w:color w:val="auto"/>
          <w:sz w:val="24"/>
          <w:highlight w:val="none"/>
          <w:lang w:val="zh-CN"/>
        </w:rPr>
        <w:t>报批前公开</w:t>
      </w:r>
      <w:r>
        <w:rPr>
          <w:rFonts w:hint="eastAsia"/>
          <w:color w:val="auto"/>
          <w:sz w:val="24"/>
          <w:highlight w:val="none"/>
          <w:lang w:val="zh-CN"/>
        </w:rPr>
        <w:t>日期为</w:t>
      </w:r>
      <w:r>
        <w:rPr>
          <w:rFonts w:hint="default"/>
          <w:color w:val="auto"/>
          <w:sz w:val="24"/>
          <w:highlight w:val="none"/>
          <w:lang w:val="zh-CN"/>
        </w:rPr>
        <w:t>202</w:t>
      </w:r>
      <w:r>
        <w:rPr>
          <w:rFonts w:hint="eastAsia"/>
          <w:color w:val="auto"/>
          <w:sz w:val="24"/>
          <w:highlight w:val="none"/>
          <w:lang w:val="en-US" w:eastAsia="zh-CN"/>
        </w:rPr>
        <w:t>2</w:t>
      </w:r>
      <w:r>
        <w:rPr>
          <w:rFonts w:hint="default"/>
          <w:color w:val="auto"/>
          <w:sz w:val="24"/>
          <w:highlight w:val="none"/>
          <w:lang w:val="zh-CN"/>
        </w:rPr>
        <w:t>年</w:t>
      </w:r>
      <w:r>
        <w:rPr>
          <w:rFonts w:hint="eastAsia"/>
          <w:color w:val="auto"/>
          <w:sz w:val="24"/>
          <w:highlight w:val="none"/>
          <w:lang w:val="en-US" w:eastAsia="zh-CN"/>
        </w:rPr>
        <w:t>3</w:t>
      </w:r>
      <w:r>
        <w:rPr>
          <w:rFonts w:hint="default"/>
          <w:color w:val="auto"/>
          <w:sz w:val="24"/>
          <w:highlight w:val="none"/>
          <w:lang w:val="zh-CN"/>
        </w:rPr>
        <w:t>月</w:t>
      </w:r>
      <w:r>
        <w:rPr>
          <w:rFonts w:hint="eastAsia"/>
          <w:color w:val="auto"/>
          <w:sz w:val="24"/>
          <w:highlight w:val="none"/>
          <w:lang w:val="en-US" w:eastAsia="zh-CN"/>
        </w:rPr>
        <w:t>15</w:t>
      </w:r>
      <w:r>
        <w:rPr>
          <w:rFonts w:hint="default"/>
          <w:color w:val="auto"/>
          <w:sz w:val="24"/>
          <w:highlight w:val="none"/>
          <w:lang w:val="zh-CN"/>
        </w:rPr>
        <w:t>日</w:t>
      </w:r>
      <w:r>
        <w:rPr>
          <w:rFonts w:hint="eastAsia"/>
          <w:color w:val="auto"/>
          <w:sz w:val="24"/>
          <w:highlight w:val="none"/>
          <w:lang w:val="zh-CN"/>
        </w:rPr>
        <w:t>（</w:t>
      </w:r>
      <w:r>
        <w:rPr>
          <w:rFonts w:hint="default"/>
          <w:color w:val="auto"/>
          <w:sz w:val="24"/>
          <w:highlight w:val="none"/>
          <w:lang w:val="zh-CN"/>
        </w:rPr>
        <w:fldChar w:fldCharType="begin"/>
      </w:r>
      <w:r>
        <w:rPr>
          <w:rFonts w:hint="default"/>
          <w:color w:val="auto"/>
          <w:sz w:val="24"/>
          <w:highlight w:val="none"/>
          <w:lang w:val="zh-CN"/>
        </w:rPr>
        <w:instrText xml:space="preserve"> HYPERLINK "http://www.yonqon.com/jsw/" </w:instrText>
      </w:r>
      <w:r>
        <w:rPr>
          <w:rFonts w:hint="default"/>
          <w:color w:val="auto"/>
          <w:sz w:val="24"/>
          <w:highlight w:val="none"/>
          <w:lang w:val="zh-CN"/>
        </w:rPr>
        <w:fldChar w:fldCharType="separate"/>
      </w:r>
      <w:r>
        <w:rPr>
          <w:rFonts w:hint="default"/>
          <w:color w:val="auto"/>
          <w:sz w:val="24"/>
          <w:highlight w:val="none"/>
          <w:lang w:val="zh-CN"/>
        </w:rPr>
        <w:t>黑龙江安全环保技术资讯网</w:t>
      </w:r>
      <w:r>
        <w:rPr>
          <w:rFonts w:hint="default"/>
          <w:color w:val="auto"/>
          <w:sz w:val="24"/>
          <w:highlight w:val="none"/>
          <w:lang w:val="zh-CN"/>
        </w:rPr>
        <w:fldChar w:fldCharType="end"/>
      </w:r>
      <w:r>
        <w:rPr>
          <w:rFonts w:hint="default"/>
          <w:color w:val="auto"/>
          <w:sz w:val="24"/>
          <w:highlight w:val="none"/>
          <w:lang w:val="zh-CN"/>
        </w:rPr>
        <w:t>http://www.yonqon.com/jsw/huanpinggongshi/</w:t>
      </w:r>
      <w:r>
        <w:rPr>
          <w:rFonts w:hint="eastAsia"/>
          <w:color w:val="auto"/>
          <w:sz w:val="24"/>
          <w:highlight w:val="none"/>
          <w:lang w:val="en-US" w:eastAsia="zh-CN"/>
        </w:rPr>
        <w:t>80</w:t>
      </w:r>
      <w:r>
        <w:rPr>
          <w:rFonts w:hint="default"/>
          <w:color w:val="auto"/>
          <w:sz w:val="24"/>
          <w:highlight w:val="none"/>
          <w:lang w:val="zh-CN"/>
        </w:rPr>
        <w:t>.html）</w:t>
      </w:r>
      <w:r>
        <w:rPr>
          <w:rFonts w:hint="eastAsia"/>
          <w:color w:val="auto"/>
          <w:sz w:val="24"/>
          <w:highlight w:val="none"/>
          <w:lang w:val="zh-CN"/>
        </w:rPr>
        <w:t>。</w:t>
      </w:r>
    </w:p>
    <w:p>
      <w:pPr>
        <w:bidi w:val="0"/>
        <w:rPr>
          <w:rFonts w:hint="default"/>
          <w:color w:val="auto"/>
          <w:sz w:val="24"/>
          <w:highlight w:val="none"/>
        </w:rPr>
      </w:pPr>
      <w:r>
        <w:rPr>
          <w:rFonts w:hint="default"/>
          <w:color w:val="auto"/>
          <w:sz w:val="24"/>
          <w:highlight w:val="none"/>
        </w:rPr>
        <w:t>至信息公告的截止日期没有收到相关反馈信息。</w:t>
      </w:r>
    </w:p>
    <w:p>
      <w:pPr>
        <w:bidi w:val="0"/>
        <w:rPr>
          <w:rFonts w:hint="default"/>
          <w:color w:val="auto"/>
          <w:sz w:val="24"/>
          <w:highlight w:val="none"/>
        </w:rPr>
      </w:pPr>
      <w:r>
        <w:rPr>
          <w:rFonts w:hint="default"/>
          <w:color w:val="auto"/>
          <w:sz w:val="24"/>
          <w:highlight w:val="none"/>
        </w:rPr>
        <w:t>网络公示起到了应有的告知作用</w:t>
      </w:r>
      <w:r>
        <w:rPr>
          <w:rFonts w:hint="eastAsia"/>
          <w:color w:val="auto"/>
          <w:sz w:val="24"/>
          <w:highlight w:val="none"/>
          <w:lang w:eastAsia="zh-CN"/>
        </w:rPr>
        <w:t>，本次评价</w:t>
      </w:r>
      <w:r>
        <w:rPr>
          <w:rFonts w:hint="default"/>
          <w:color w:val="auto"/>
          <w:sz w:val="24"/>
          <w:highlight w:val="none"/>
        </w:rPr>
        <w:t>选择了</w:t>
      </w:r>
      <w:r>
        <w:rPr>
          <w:rFonts w:hint="eastAsia"/>
          <w:color w:val="auto"/>
          <w:sz w:val="24"/>
          <w:highlight w:val="none"/>
          <w:lang w:eastAsia="zh-CN"/>
        </w:rPr>
        <w:t>黑龙江安全环保技术资讯网</w:t>
      </w:r>
      <w:r>
        <w:rPr>
          <w:rFonts w:hint="default"/>
          <w:color w:val="auto"/>
          <w:sz w:val="24"/>
          <w:highlight w:val="none"/>
        </w:rPr>
        <w:t>和《大庆油田报》进行公示，起到了网络和报纸传播较广，在网上两次公示过程中、公示期间没有接到任何人反映意见或建议的电话和邮件、传真等。</w:t>
      </w:r>
    </w:p>
    <w:p>
      <w:pPr>
        <w:bidi w:val="0"/>
        <w:rPr>
          <w:rFonts w:hint="default"/>
          <w:color w:val="auto"/>
          <w:highlight w:val="none"/>
        </w:rPr>
      </w:pPr>
      <w:r>
        <w:rPr>
          <w:rFonts w:hint="default"/>
          <w:color w:val="auto"/>
          <w:sz w:val="24"/>
          <w:highlight w:val="none"/>
        </w:rPr>
        <w:t>建设单位的公参调查结果表明，公众对</w:t>
      </w:r>
      <w:r>
        <w:rPr>
          <w:rFonts w:hint="eastAsia"/>
          <w:color w:val="auto"/>
          <w:sz w:val="24"/>
          <w:highlight w:val="none"/>
          <w:lang w:eastAsia="zh-CN"/>
        </w:rPr>
        <w:t>《</w:t>
      </w:r>
      <w:r>
        <w:rPr>
          <w:rFonts w:hint="eastAsia"/>
          <w:color w:val="auto"/>
          <w:sz w:val="24"/>
          <w:highlight w:val="none"/>
          <w:lang w:val="en-US" w:eastAsia="zh-CN"/>
        </w:rPr>
        <w:t>大庆市李氏纸业改建项目</w:t>
      </w:r>
      <w:r>
        <w:rPr>
          <w:rFonts w:hint="eastAsia"/>
          <w:color w:val="auto"/>
          <w:sz w:val="24"/>
          <w:highlight w:val="none"/>
          <w:lang w:eastAsia="zh-CN"/>
        </w:rPr>
        <w:t>》</w:t>
      </w:r>
      <w:r>
        <w:rPr>
          <w:rFonts w:hint="default"/>
          <w:color w:val="auto"/>
          <w:sz w:val="24"/>
          <w:highlight w:val="none"/>
        </w:rPr>
        <w:t>无反对意见。建设单位认真执行环保</w:t>
      </w:r>
      <w:r>
        <w:rPr>
          <w:rFonts w:hint="eastAsia"/>
          <w:color w:val="auto"/>
          <w:sz w:val="24"/>
          <w:highlight w:val="none"/>
          <w:lang w:eastAsia="zh-CN"/>
        </w:rPr>
        <w:t>“</w:t>
      </w:r>
      <w:r>
        <w:rPr>
          <w:rFonts w:hint="default"/>
          <w:color w:val="auto"/>
          <w:sz w:val="24"/>
          <w:highlight w:val="none"/>
        </w:rPr>
        <w:t>三同时</w:t>
      </w:r>
      <w:r>
        <w:rPr>
          <w:rFonts w:hint="eastAsia"/>
          <w:color w:val="auto"/>
          <w:sz w:val="24"/>
          <w:highlight w:val="none"/>
          <w:lang w:eastAsia="zh-CN"/>
        </w:rPr>
        <w:t>”</w:t>
      </w:r>
      <w:r>
        <w:rPr>
          <w:rFonts w:hint="default"/>
          <w:color w:val="auto"/>
          <w:sz w:val="24"/>
          <w:highlight w:val="none"/>
        </w:rPr>
        <w:t>制度，加强环境管理，使环境的负效应降至最低。并对周围环境的影响减至最小程度，达到公众对项目建设的环境要求。</w:t>
      </w:r>
    </w:p>
    <w:p>
      <w:pPr>
        <w:rPr>
          <w:color w:val="auto"/>
          <w:highlight w:val="none"/>
        </w:rPr>
      </w:pPr>
      <w:bookmarkStart w:id="1288" w:name="_Toc24219"/>
      <w:bookmarkStart w:id="1289" w:name="_Toc21720"/>
      <w:r>
        <w:rPr>
          <w:color w:val="auto"/>
          <w:highlight w:val="none"/>
        </w:rPr>
        <w:br w:type="page"/>
      </w:r>
    </w:p>
    <w:p>
      <w:pPr>
        <w:pStyle w:val="5"/>
        <w:bidi w:val="0"/>
        <w:rPr>
          <w:color w:val="auto"/>
          <w:highlight w:val="none"/>
        </w:rPr>
      </w:pPr>
      <w:r>
        <w:rPr>
          <w:color w:val="auto"/>
          <w:highlight w:val="none"/>
        </w:rPr>
        <w:t>总结论</w:t>
      </w:r>
      <w:bookmarkEnd w:id="1288"/>
      <w:bookmarkEnd w:id="1289"/>
    </w:p>
    <w:p>
      <w:pPr>
        <w:bidi w:val="0"/>
        <w:rPr>
          <w:color w:val="auto"/>
          <w:highlight w:val="none"/>
        </w:rPr>
      </w:pPr>
      <w:r>
        <w:rPr>
          <w:color w:val="auto"/>
          <w:highlight w:val="none"/>
        </w:rPr>
        <w:t>综合对建设项目的建设概况、环境质量现状、污染物排放情况、主要环境影响、公众意见采纳情况、环境保护措施、环境影响经济损益分析、环境管理与监测计划等结论，在确保污染防治措施全面实施并正常运行的前提下，本工程的建设可被周围环境所接受。因此，该工程建设从环境保护角度分析是可行的。</w:t>
      </w:r>
    </w:p>
    <w:p>
      <w:pPr>
        <w:rPr>
          <w:rFonts w:hint="default"/>
          <w:color w:val="auto"/>
          <w:highlight w:val="none"/>
          <w:lang w:val="en-US" w:eastAsia="zh-CN"/>
        </w:rPr>
      </w:pPr>
    </w:p>
    <w:sectPr>
      <w:footerReference r:id="rId18" w:type="default"/>
      <w:pgSz w:w="11911" w:h="16838"/>
      <w:pgMar w:top="1417" w:right="1417" w:bottom="1417" w:left="1417" w:header="850" w:footer="992" w:gutter="0"/>
      <w:paperSrc/>
      <w:pgBorders>
        <w:top w:val="none" w:sz="0" w:space="0"/>
        <w:left w:val="none" w:sz="0" w:space="0"/>
        <w:bottom w:val="none" w:sz="0" w:space="0"/>
        <w:right w:val="none" w:sz="0" w:space="0"/>
      </w:pgBorders>
      <w:pgNumType w:fmt="decimal"/>
      <w:cols w:space="0" w:num="1"/>
      <w:rtlGutter w:val="0"/>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Arial Unicode MS">
    <w:altName w:val="宋体"/>
    <w:panose1 w:val="020B0604020202020204"/>
    <w:charset w:val="86"/>
    <w:family w:val="swiss"/>
    <w:pitch w:val="default"/>
    <w:sig w:usb0="00000000" w:usb1="00000000" w:usb2="0000003F" w:usb3="00000000" w:csb0="003F01FF" w:csb1="00000000"/>
  </w:font>
  <w:font w:name="昆仑细圆">
    <w:altName w:val="黑体"/>
    <w:panose1 w:val="00000000000000000000"/>
    <w:charset w:val="86"/>
    <w:family w:val="swiss"/>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174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aHbnP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IaHbnPeAgAAJgYAAA4AAAAAAAAAAQAgAAAAHwEAAGRycy9lMm9Eb2MueG1sUEsF&#10;BgAAAAAGAAYAWQEAAG8G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174</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center" w:y="1"/>
      <w:rPr>
        <w:rStyle w:val="26"/>
      </w:rPr>
    </w:pPr>
    <w:r>
      <w:fldChar w:fldCharType="begin"/>
    </w:r>
    <w:r>
      <w:rPr>
        <w:rStyle w:val="26"/>
      </w:rPr>
      <w:instrText xml:space="preserve">PAGE  </w:instrText>
    </w:r>
    <w:r>
      <w:fldChar w:fldCharType="end"/>
    </w:r>
  </w:p>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r>
      <w:rPr>
        <w:sz w:val="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pEF7e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MspEF7eAgAAJgYAAA4AAAAAAAAAAQAgAAAAHwEAAGRycy9lMm9Eb2MueG1sUEsF&#10;BgAAAAAGAAYAWQEAAG8G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AopvWg3AIAACYGAAAOAAAAAAAAAAEAIAAAAB8BAABkcnMvZTJvRG9jLnhtbFBLBQYA&#10;AAAABgAGAFkBAABtBg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3</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right"/>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53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fpnLCt0CAAAmBgAADgAAAAAAAAABACAAAAAfAQAAZHJzL2Uyb0RvYy54bWxQSwUG&#10;AAAAAAYABgBZAQAAbgY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53</w:t>
                    </w:r>
                    <w:r>
                      <w:fldChar w:fldCharType="end"/>
                    </w:r>
                    <w: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89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Xe+C/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wcYCdJC&#10;xe+/fb3//vP+xxcEeyDQVpkJxN0qiLS7S7mDtun3DWw63rtKt+4fGCHwg7x3B3nZziLqDqWDNI3A&#10;RcHXLwA/PB5X2thXTLbIGRnWUD8vK9ksjO1C+xB3m5BFw7mvIRdom+HR6TDyBw4eAOfCxUIWgLG3&#10;utp8Gkfjq/QqTYJkMLoKkijPg1kxT4JREZ8N89N8Ps/jzw4vTiZ1U5ZMuPv6PomT59Vh3ytdhQ+d&#10;YiRvSgfnUjJ6tZxzjTYE+rTwP6cwJP8gLHychncDqyeU4kESXQ7GQTFKz4KkSIbB+CxKgygeX45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MXe+C/eAgAAJgYAAA4AAAAAAAAAAQAgAAAAHwEAAGRycy9lMm9Eb2MueG1sUEsF&#10;BgAAAAAGAAYAWQEAAG8G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89</w:t>
                    </w:r>
                    <w:r>
                      <w:fldChar w:fldCharType="end"/>
                    </w:r>
                    <w:r>
                      <w:t xml:space="preserve"> 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5" w:lineRule="exact"/>
      <w:ind w:firstLine="4394"/>
      <w:rPr>
        <w:rFonts w:ascii="Times New Roman" w:hAnsi="Times New Roman" w:eastAsia="Times New Roman" w:cs="Times New Roman"/>
        <w:sz w:val="21"/>
        <w:szCs w:val="21"/>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115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hxoX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JPhxoXeAgAAJgYAAA4AAAAAAAAAAQAgAAAAHwEAAGRycy9lMm9Eb2MueG1sUEsF&#10;BgAAAAAGAAYAWQEAAG8G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115</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480"/>
      </w:pPr>
      <w:r>
        <w:separator/>
      </w:r>
    </w:p>
  </w:footnote>
  <w:footnote w:type="continuationSeparator" w:id="1">
    <w:p>
      <w:pPr>
        <w:spacing w:before="0" w:after="0"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2655"/>
        <w:tab w:val="right" w:pos="8801"/>
      </w:tabs>
      <w:spacing w:line="900" w:lineRule="exact"/>
      <w:ind w:right="270"/>
      <w:jc w:val="left"/>
      <w:outlineLvl w:val="0"/>
      <w:rPr>
        <w:rFonts w:hint="eastAsia"/>
        <w:sz w:val="18"/>
        <w:szCs w:val="18"/>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2655"/>
        <w:tab w:val="right" w:pos="8801"/>
      </w:tabs>
      <w:spacing w:line="900" w:lineRule="exact"/>
      <w:ind w:right="270"/>
      <w:jc w:val="left"/>
      <w:outlineLvl w:val="0"/>
      <w:rPr>
        <w:rFonts w:hint="eastAsia"/>
        <w:sz w:val="18"/>
        <w:szCs w:val="18"/>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5844AA"/>
    <w:multiLevelType w:val="singleLevel"/>
    <w:tmpl w:val="C95844AA"/>
    <w:lvl w:ilvl="0" w:tentative="0">
      <w:start w:val="2"/>
      <w:numFmt w:val="decimal"/>
      <w:suff w:val="nothing"/>
      <w:lvlText w:val="（%1）"/>
      <w:lvlJc w:val="left"/>
    </w:lvl>
  </w:abstractNum>
  <w:abstractNum w:abstractNumId="1">
    <w:nsid w:val="092FAA47"/>
    <w:multiLevelType w:val="singleLevel"/>
    <w:tmpl w:val="092FAA47"/>
    <w:lvl w:ilvl="0" w:tentative="0">
      <w:start w:val="1"/>
      <w:numFmt w:val="chineseCounting"/>
      <w:suff w:val="nothing"/>
      <w:lvlText w:val="（%1）"/>
      <w:lvlJc w:val="left"/>
      <w:pPr>
        <w:ind w:left="6"/>
      </w:pPr>
      <w:rPr>
        <w:rFonts w:hint="eastAsia"/>
      </w:rPr>
    </w:lvl>
  </w:abstractNum>
  <w:abstractNum w:abstractNumId="2">
    <w:nsid w:val="58E8CAE7"/>
    <w:multiLevelType w:val="singleLevel"/>
    <w:tmpl w:val="58E8CAE7"/>
    <w:lvl w:ilvl="0" w:tentative="0">
      <w:start w:val="1"/>
      <w:numFmt w:val="decimal"/>
      <w:suff w:val="nothing"/>
      <w:lvlText w:val="（%1）"/>
      <w:lvlJc w:val="left"/>
      <w:pPr>
        <w:ind w:left="480"/>
      </w:pPr>
    </w:lvl>
  </w:abstractNum>
  <w:abstractNum w:abstractNumId="3">
    <w:nsid w:val="59292F05"/>
    <w:multiLevelType w:val="singleLevel"/>
    <w:tmpl w:val="59292F05"/>
    <w:lvl w:ilvl="0" w:tentative="0">
      <w:start w:val="2"/>
      <w:numFmt w:val="chineseCounting"/>
      <w:suff w:val="nothing"/>
      <w:lvlText w:val="（%1）"/>
      <w:lvlJc w:val="left"/>
    </w:lvl>
  </w:abstractNum>
  <w:abstractNum w:abstractNumId="4">
    <w:nsid w:val="5F9C2487"/>
    <w:multiLevelType w:val="singleLevel"/>
    <w:tmpl w:val="5F9C2487"/>
    <w:lvl w:ilvl="0" w:tentative="0">
      <w:start w:val="1"/>
      <w:numFmt w:val="decimal"/>
      <w:suff w:val="nothing"/>
      <w:lvlText w:val="（%1）"/>
      <w:lvlJc w:val="left"/>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bordersDoNotSurroundHeader w:val="0"/>
  <w:bordersDoNotSurroundFooter w:val="0"/>
  <w:documentProtection w:enforcement="0"/>
  <w:defaultTabStop w:val="420"/>
  <w:drawingGridHorizontalSpacing w:val="240"/>
  <w:drawingGridVerticalSpacing w:val="99999990"/>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A4ZTFjOGE0M2IxMTIyNTI5MTQ4YjgyMWUzMDU2NjYifQ=="/>
  </w:docVars>
  <w:rsids>
    <w:rsidRoot w:val="00172A27"/>
    <w:rsid w:val="002E0E2C"/>
    <w:rsid w:val="00632899"/>
    <w:rsid w:val="00AA3CEC"/>
    <w:rsid w:val="00DB7F53"/>
    <w:rsid w:val="01F13DB3"/>
    <w:rsid w:val="020F447B"/>
    <w:rsid w:val="02684F36"/>
    <w:rsid w:val="02DC5CB3"/>
    <w:rsid w:val="02E53A75"/>
    <w:rsid w:val="03390BD8"/>
    <w:rsid w:val="03585D11"/>
    <w:rsid w:val="03F27118"/>
    <w:rsid w:val="045B2BFE"/>
    <w:rsid w:val="053308F1"/>
    <w:rsid w:val="0539104D"/>
    <w:rsid w:val="07407CDF"/>
    <w:rsid w:val="0750590F"/>
    <w:rsid w:val="07945A7A"/>
    <w:rsid w:val="07A369A2"/>
    <w:rsid w:val="07B45F50"/>
    <w:rsid w:val="07B932C4"/>
    <w:rsid w:val="07EC1369"/>
    <w:rsid w:val="08656D56"/>
    <w:rsid w:val="08BA4532"/>
    <w:rsid w:val="090611A9"/>
    <w:rsid w:val="09851626"/>
    <w:rsid w:val="0988589D"/>
    <w:rsid w:val="09DE547F"/>
    <w:rsid w:val="0B0D3E50"/>
    <w:rsid w:val="0B1870DA"/>
    <w:rsid w:val="0B447065"/>
    <w:rsid w:val="0C6D0460"/>
    <w:rsid w:val="0CC71781"/>
    <w:rsid w:val="0D5F08A5"/>
    <w:rsid w:val="0DA25608"/>
    <w:rsid w:val="0E677FB6"/>
    <w:rsid w:val="0F052A35"/>
    <w:rsid w:val="0F507AFA"/>
    <w:rsid w:val="0F6B4C15"/>
    <w:rsid w:val="102B13EE"/>
    <w:rsid w:val="11204879"/>
    <w:rsid w:val="112F4CFE"/>
    <w:rsid w:val="1151653B"/>
    <w:rsid w:val="128543A4"/>
    <w:rsid w:val="12CB1685"/>
    <w:rsid w:val="13256B7A"/>
    <w:rsid w:val="13600F41"/>
    <w:rsid w:val="13841527"/>
    <w:rsid w:val="13BF1A2E"/>
    <w:rsid w:val="1411115B"/>
    <w:rsid w:val="147966CF"/>
    <w:rsid w:val="14E5742D"/>
    <w:rsid w:val="15877C50"/>
    <w:rsid w:val="15D45E0A"/>
    <w:rsid w:val="15EF5DBF"/>
    <w:rsid w:val="166817B1"/>
    <w:rsid w:val="16F413C5"/>
    <w:rsid w:val="170E3AE7"/>
    <w:rsid w:val="17290F12"/>
    <w:rsid w:val="176D6781"/>
    <w:rsid w:val="17B46DA6"/>
    <w:rsid w:val="17E971E6"/>
    <w:rsid w:val="17F378CF"/>
    <w:rsid w:val="18057D95"/>
    <w:rsid w:val="18783B2D"/>
    <w:rsid w:val="18EB2DBB"/>
    <w:rsid w:val="19612E6F"/>
    <w:rsid w:val="196539AE"/>
    <w:rsid w:val="19681485"/>
    <w:rsid w:val="197611A4"/>
    <w:rsid w:val="19924EC5"/>
    <w:rsid w:val="19F80CA9"/>
    <w:rsid w:val="1AC7457D"/>
    <w:rsid w:val="1AED5A66"/>
    <w:rsid w:val="1B7E1BA5"/>
    <w:rsid w:val="1BF11169"/>
    <w:rsid w:val="1C251986"/>
    <w:rsid w:val="1C2C522F"/>
    <w:rsid w:val="1C605A71"/>
    <w:rsid w:val="1CC65CDB"/>
    <w:rsid w:val="1D0505C3"/>
    <w:rsid w:val="1D2147FC"/>
    <w:rsid w:val="1D7706F8"/>
    <w:rsid w:val="1D8B57FC"/>
    <w:rsid w:val="1DBC50ED"/>
    <w:rsid w:val="1DF44959"/>
    <w:rsid w:val="1E005778"/>
    <w:rsid w:val="1E83757A"/>
    <w:rsid w:val="1ECE6E83"/>
    <w:rsid w:val="1F1E722D"/>
    <w:rsid w:val="1F4044C4"/>
    <w:rsid w:val="1F535E87"/>
    <w:rsid w:val="1F6E6F3C"/>
    <w:rsid w:val="1FA37E2C"/>
    <w:rsid w:val="1FBC7140"/>
    <w:rsid w:val="20362464"/>
    <w:rsid w:val="20D22926"/>
    <w:rsid w:val="21F80171"/>
    <w:rsid w:val="233C2B09"/>
    <w:rsid w:val="233C3033"/>
    <w:rsid w:val="236661EC"/>
    <w:rsid w:val="23CF5A17"/>
    <w:rsid w:val="2420473F"/>
    <w:rsid w:val="246D27D2"/>
    <w:rsid w:val="24870315"/>
    <w:rsid w:val="24BB1067"/>
    <w:rsid w:val="24E1143B"/>
    <w:rsid w:val="253E00B3"/>
    <w:rsid w:val="25C75736"/>
    <w:rsid w:val="25E140B7"/>
    <w:rsid w:val="266340A7"/>
    <w:rsid w:val="26BC535F"/>
    <w:rsid w:val="27160A17"/>
    <w:rsid w:val="274E11C3"/>
    <w:rsid w:val="279253A1"/>
    <w:rsid w:val="28820589"/>
    <w:rsid w:val="28EB2E93"/>
    <w:rsid w:val="29753FCC"/>
    <w:rsid w:val="29CD3B77"/>
    <w:rsid w:val="29EB2F9D"/>
    <w:rsid w:val="2A260CD4"/>
    <w:rsid w:val="2A3309D5"/>
    <w:rsid w:val="2A816FBC"/>
    <w:rsid w:val="2AFD65DE"/>
    <w:rsid w:val="2B603C46"/>
    <w:rsid w:val="2B896186"/>
    <w:rsid w:val="2B9D7ACD"/>
    <w:rsid w:val="2BC41327"/>
    <w:rsid w:val="2BE36C7F"/>
    <w:rsid w:val="2C19645B"/>
    <w:rsid w:val="2CB827B2"/>
    <w:rsid w:val="2CE94AAC"/>
    <w:rsid w:val="2D572346"/>
    <w:rsid w:val="2D6F7847"/>
    <w:rsid w:val="2D964609"/>
    <w:rsid w:val="2D9D6639"/>
    <w:rsid w:val="2DF60503"/>
    <w:rsid w:val="2E7C4395"/>
    <w:rsid w:val="2E982995"/>
    <w:rsid w:val="30222062"/>
    <w:rsid w:val="302C4844"/>
    <w:rsid w:val="304A5519"/>
    <w:rsid w:val="30C3614C"/>
    <w:rsid w:val="31842EA6"/>
    <w:rsid w:val="31E47B63"/>
    <w:rsid w:val="32A20730"/>
    <w:rsid w:val="33A14BEB"/>
    <w:rsid w:val="35102AD6"/>
    <w:rsid w:val="35DC02EB"/>
    <w:rsid w:val="360867E3"/>
    <w:rsid w:val="36600DC5"/>
    <w:rsid w:val="37A97B52"/>
    <w:rsid w:val="37D84936"/>
    <w:rsid w:val="380027BF"/>
    <w:rsid w:val="382C4A0B"/>
    <w:rsid w:val="38BD4537"/>
    <w:rsid w:val="391602E0"/>
    <w:rsid w:val="39291289"/>
    <w:rsid w:val="3A30274A"/>
    <w:rsid w:val="3A822D36"/>
    <w:rsid w:val="3AC91B74"/>
    <w:rsid w:val="3B605A90"/>
    <w:rsid w:val="3B841D62"/>
    <w:rsid w:val="3BA4183C"/>
    <w:rsid w:val="3BB840E2"/>
    <w:rsid w:val="3C396321"/>
    <w:rsid w:val="3C5A2D28"/>
    <w:rsid w:val="3CC97CC8"/>
    <w:rsid w:val="3CFE3BC7"/>
    <w:rsid w:val="3E9E6757"/>
    <w:rsid w:val="3EEC44D5"/>
    <w:rsid w:val="3F2F3B91"/>
    <w:rsid w:val="3F357E00"/>
    <w:rsid w:val="40667BFB"/>
    <w:rsid w:val="40B370C5"/>
    <w:rsid w:val="413C6BE2"/>
    <w:rsid w:val="41433CA7"/>
    <w:rsid w:val="41DC16BC"/>
    <w:rsid w:val="425621A6"/>
    <w:rsid w:val="426A30EF"/>
    <w:rsid w:val="42A037EB"/>
    <w:rsid w:val="42EC309B"/>
    <w:rsid w:val="446E7289"/>
    <w:rsid w:val="44BB002C"/>
    <w:rsid w:val="44E7660B"/>
    <w:rsid w:val="460C23EE"/>
    <w:rsid w:val="468F3F13"/>
    <w:rsid w:val="46AF05B5"/>
    <w:rsid w:val="46B17E2F"/>
    <w:rsid w:val="46CB734B"/>
    <w:rsid w:val="471B6A06"/>
    <w:rsid w:val="478476E7"/>
    <w:rsid w:val="47AA41CD"/>
    <w:rsid w:val="47D41457"/>
    <w:rsid w:val="48113E00"/>
    <w:rsid w:val="487E00AE"/>
    <w:rsid w:val="48AA6125"/>
    <w:rsid w:val="4A192915"/>
    <w:rsid w:val="4A442959"/>
    <w:rsid w:val="4A65337B"/>
    <w:rsid w:val="4A655B5A"/>
    <w:rsid w:val="4A905EF7"/>
    <w:rsid w:val="4B0A5209"/>
    <w:rsid w:val="4BE063B0"/>
    <w:rsid w:val="4D311EC0"/>
    <w:rsid w:val="4D45144F"/>
    <w:rsid w:val="4D53307D"/>
    <w:rsid w:val="4DCB01AD"/>
    <w:rsid w:val="4DD36988"/>
    <w:rsid w:val="4DFC1A95"/>
    <w:rsid w:val="4E1E06A4"/>
    <w:rsid w:val="4E527D24"/>
    <w:rsid w:val="4EC312A0"/>
    <w:rsid w:val="4EE2217B"/>
    <w:rsid w:val="4EF61477"/>
    <w:rsid w:val="50206842"/>
    <w:rsid w:val="50AB75BA"/>
    <w:rsid w:val="50C63A61"/>
    <w:rsid w:val="51D32C81"/>
    <w:rsid w:val="52E26231"/>
    <w:rsid w:val="52F369E4"/>
    <w:rsid w:val="53393D5A"/>
    <w:rsid w:val="539E7B02"/>
    <w:rsid w:val="539F25AC"/>
    <w:rsid w:val="55AA6470"/>
    <w:rsid w:val="55B97520"/>
    <w:rsid w:val="56187F25"/>
    <w:rsid w:val="57DB3900"/>
    <w:rsid w:val="57FC2108"/>
    <w:rsid w:val="58495A5E"/>
    <w:rsid w:val="58A55D9E"/>
    <w:rsid w:val="58C46879"/>
    <w:rsid w:val="59170CEC"/>
    <w:rsid w:val="59954D11"/>
    <w:rsid w:val="59F237A1"/>
    <w:rsid w:val="5A8B212E"/>
    <w:rsid w:val="5AAB580B"/>
    <w:rsid w:val="5AE93828"/>
    <w:rsid w:val="5B304B66"/>
    <w:rsid w:val="5BCF641E"/>
    <w:rsid w:val="5C1A6094"/>
    <w:rsid w:val="5C30578F"/>
    <w:rsid w:val="5D317161"/>
    <w:rsid w:val="5D4B2AAF"/>
    <w:rsid w:val="5DA70003"/>
    <w:rsid w:val="5DD23A96"/>
    <w:rsid w:val="5DDD3627"/>
    <w:rsid w:val="5E2A0315"/>
    <w:rsid w:val="5E4554DD"/>
    <w:rsid w:val="5EC62C14"/>
    <w:rsid w:val="5ED82947"/>
    <w:rsid w:val="5F38637A"/>
    <w:rsid w:val="5F424D1F"/>
    <w:rsid w:val="5F6B6844"/>
    <w:rsid w:val="601434C2"/>
    <w:rsid w:val="605D378F"/>
    <w:rsid w:val="606772F5"/>
    <w:rsid w:val="609A4B38"/>
    <w:rsid w:val="614D0248"/>
    <w:rsid w:val="61D96CFE"/>
    <w:rsid w:val="620402C2"/>
    <w:rsid w:val="620A0A0D"/>
    <w:rsid w:val="62D54BDE"/>
    <w:rsid w:val="62E50396"/>
    <w:rsid w:val="63ED1CFA"/>
    <w:rsid w:val="641F43CB"/>
    <w:rsid w:val="642D4971"/>
    <w:rsid w:val="643A0874"/>
    <w:rsid w:val="64646CC8"/>
    <w:rsid w:val="65197E3A"/>
    <w:rsid w:val="65476E70"/>
    <w:rsid w:val="65532A0D"/>
    <w:rsid w:val="66476133"/>
    <w:rsid w:val="68027478"/>
    <w:rsid w:val="687C5038"/>
    <w:rsid w:val="695837E8"/>
    <w:rsid w:val="69A040D3"/>
    <w:rsid w:val="69FE4476"/>
    <w:rsid w:val="6A604167"/>
    <w:rsid w:val="6BAC4F3F"/>
    <w:rsid w:val="6CED3A62"/>
    <w:rsid w:val="6CF97C5C"/>
    <w:rsid w:val="6DB05127"/>
    <w:rsid w:val="6DC91444"/>
    <w:rsid w:val="6E732408"/>
    <w:rsid w:val="6F4122CF"/>
    <w:rsid w:val="6F695A5A"/>
    <w:rsid w:val="6F9F4929"/>
    <w:rsid w:val="6FAD1327"/>
    <w:rsid w:val="6FC81056"/>
    <w:rsid w:val="6FD35ED5"/>
    <w:rsid w:val="703D6AAE"/>
    <w:rsid w:val="7164443C"/>
    <w:rsid w:val="71811687"/>
    <w:rsid w:val="71B95872"/>
    <w:rsid w:val="72AF6098"/>
    <w:rsid w:val="73AF1A71"/>
    <w:rsid w:val="73EB132F"/>
    <w:rsid w:val="73F81D9D"/>
    <w:rsid w:val="74225D1F"/>
    <w:rsid w:val="74A24977"/>
    <w:rsid w:val="74B4532F"/>
    <w:rsid w:val="74FD66B0"/>
    <w:rsid w:val="75170B99"/>
    <w:rsid w:val="75317099"/>
    <w:rsid w:val="75717D36"/>
    <w:rsid w:val="75D21A46"/>
    <w:rsid w:val="77472DB0"/>
    <w:rsid w:val="776710C0"/>
    <w:rsid w:val="77AC609C"/>
    <w:rsid w:val="77E41E12"/>
    <w:rsid w:val="78063C29"/>
    <w:rsid w:val="78D47F38"/>
    <w:rsid w:val="7A165A3C"/>
    <w:rsid w:val="7A393E74"/>
    <w:rsid w:val="7AE71AF0"/>
    <w:rsid w:val="7B1D4B37"/>
    <w:rsid w:val="7B5B2EC7"/>
    <w:rsid w:val="7B874BF2"/>
    <w:rsid w:val="7BBB64E4"/>
    <w:rsid w:val="7BD570C1"/>
    <w:rsid w:val="7C385063"/>
    <w:rsid w:val="7C443065"/>
    <w:rsid w:val="7CFC5E06"/>
    <w:rsid w:val="7D0C3228"/>
    <w:rsid w:val="7D1A0727"/>
    <w:rsid w:val="7D7A50AB"/>
    <w:rsid w:val="7DA05CA8"/>
    <w:rsid w:val="7DEC248C"/>
    <w:rsid w:val="7DF12C86"/>
    <w:rsid w:val="7E117D2E"/>
    <w:rsid w:val="7E3F5D29"/>
    <w:rsid w:val="7E5F241F"/>
    <w:rsid w:val="7EE543D2"/>
    <w:rsid w:val="7FAD4B09"/>
    <w:rsid w:val="7FC45A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500" w:lineRule="exact"/>
      <w:ind w:left="0" w:right="0" w:firstLine="1028" w:firstLineChars="200"/>
      <w:jc w:val="left"/>
    </w:pPr>
    <w:rPr>
      <w:rFonts w:ascii="宋体" w:hAnsi="Times New Roman" w:eastAsia="宋体" w:cs="Times New Roman"/>
      <w:sz w:val="24"/>
      <w:lang w:val="en-US" w:eastAsia="zh-CN" w:bidi="ar-SA"/>
    </w:rPr>
  </w:style>
  <w:style w:type="paragraph" w:styleId="5">
    <w:name w:val="heading 1"/>
    <w:basedOn w:val="1"/>
    <w:next w:val="1"/>
    <w:qFormat/>
    <w:uiPriority w:val="1"/>
    <w:pPr>
      <w:ind w:left="0" w:right="0" w:firstLine="0" w:firstLineChars="0"/>
      <w:outlineLvl w:val="0"/>
    </w:pPr>
    <w:rPr>
      <w:b/>
      <w:bCs/>
      <w:sz w:val="44"/>
      <w:szCs w:val="44"/>
    </w:rPr>
  </w:style>
  <w:style w:type="paragraph" w:styleId="6">
    <w:name w:val="heading 2"/>
    <w:basedOn w:val="1"/>
    <w:next w:val="1"/>
    <w:qFormat/>
    <w:uiPriority w:val="1"/>
    <w:pPr>
      <w:ind w:left="0" w:firstLine="0" w:firstLineChars="0"/>
      <w:outlineLvl w:val="1"/>
    </w:pPr>
    <w:rPr>
      <w:rFonts w:ascii="宋体" w:hAnsi="宋体" w:cs="宋体"/>
      <w:b/>
      <w:bCs/>
      <w:sz w:val="32"/>
      <w:szCs w:val="32"/>
    </w:rPr>
  </w:style>
  <w:style w:type="paragraph" w:styleId="7">
    <w:name w:val="heading 3"/>
    <w:basedOn w:val="1"/>
    <w:next w:val="1"/>
    <w:qFormat/>
    <w:uiPriority w:val="1"/>
    <w:pPr>
      <w:ind w:left="0" w:firstLine="0" w:firstLineChars="0"/>
      <w:outlineLvl w:val="2"/>
    </w:pPr>
    <w:rPr>
      <w:rFonts w:ascii="宋体" w:hAnsi="宋体" w:cs="宋体"/>
      <w:b/>
      <w:bCs/>
      <w:sz w:val="28"/>
      <w:szCs w:val="28"/>
    </w:rPr>
  </w:style>
  <w:style w:type="paragraph" w:styleId="8">
    <w:name w:val="heading 4"/>
    <w:basedOn w:val="1"/>
    <w:next w:val="1"/>
    <w:qFormat/>
    <w:uiPriority w:val="1"/>
    <w:pPr>
      <w:ind w:left="0" w:firstLine="0" w:firstLineChars="0"/>
      <w:outlineLvl w:val="3"/>
    </w:pPr>
    <w:rPr>
      <w:rFonts w:ascii="宋体" w:hAnsi="宋体" w:eastAsia="宋体" w:cs="宋体"/>
      <w:b/>
      <w:bCs/>
      <w:szCs w:val="24"/>
    </w:rPr>
  </w:style>
  <w:style w:type="paragraph" w:styleId="9">
    <w:name w:val="heading 5"/>
    <w:basedOn w:val="1"/>
    <w:next w:val="1"/>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qFormat/>
    <w:uiPriority w:val="0"/>
    <w:pPr>
      <w:widowControl w:val="0"/>
      <w:tabs>
        <w:tab w:val="left" w:pos="4440"/>
      </w:tabs>
      <w:autoSpaceDE w:val="0"/>
      <w:autoSpaceDN w:val="0"/>
      <w:adjustRightInd w:val="0"/>
    </w:pPr>
    <w:rPr>
      <w:color w:val="000000"/>
      <w:sz w:val="24"/>
      <w:szCs w:val="24"/>
      <w:lang w:val="en-US" w:eastAsia="zh-CN" w:bidi="ar-SA"/>
    </w:rPr>
  </w:style>
  <w:style w:type="paragraph" w:customStyle="1" w:styleId="3">
    <w:name w:val="表头"/>
    <w:basedOn w:val="4"/>
    <w:next w:val="1"/>
    <w:qFormat/>
    <w:uiPriority w:val="0"/>
    <w:pPr>
      <w:tabs>
        <w:tab w:val="left" w:pos="4440"/>
      </w:tabs>
      <w:autoSpaceDE w:val="0"/>
      <w:autoSpaceDN w:val="0"/>
      <w:adjustRightInd w:val="0"/>
      <w:snapToGrid w:val="0"/>
      <w:spacing w:before="25" w:beforeLines="25" w:after="25" w:afterLines="25"/>
      <w:jc w:val="center"/>
      <w:textAlignment w:val="bottom"/>
    </w:pPr>
    <w:rPr>
      <w:rFonts w:ascii="Times" w:hAnsi="Times" w:eastAsia="黑体"/>
      <w:b/>
      <w:spacing w:val="16"/>
      <w:szCs w:val="24"/>
    </w:rPr>
  </w:style>
  <w:style w:type="paragraph" w:styleId="4">
    <w:name w:val="toc 2"/>
    <w:basedOn w:val="1"/>
    <w:next w:val="1"/>
    <w:qFormat/>
    <w:uiPriority w:val="1"/>
    <w:pPr>
      <w:spacing w:before="5"/>
      <w:ind w:left="1539" w:right="905" w:hanging="1540"/>
      <w:jc w:val="right"/>
    </w:pPr>
    <w:rPr>
      <w:rFonts w:ascii="宋体" w:hAnsi="宋体" w:eastAsia="宋体" w:cs="宋体"/>
      <w:sz w:val="24"/>
      <w:szCs w:val="24"/>
      <w:lang w:val="zh-CN" w:eastAsia="zh-CN" w:bidi="zh-CN"/>
    </w:rPr>
  </w:style>
  <w:style w:type="paragraph" w:styleId="10">
    <w:name w:val="annotation text"/>
    <w:basedOn w:val="1"/>
    <w:qFormat/>
    <w:uiPriority w:val="0"/>
    <w:pPr>
      <w:jc w:val="left"/>
    </w:pPr>
    <w:rPr>
      <w:rFonts w:ascii="Times New Roman"/>
      <w:kern w:val="2"/>
      <w:sz w:val="21"/>
      <w:szCs w:val="24"/>
    </w:rPr>
  </w:style>
  <w:style w:type="paragraph" w:styleId="11">
    <w:name w:val="Body Text"/>
    <w:basedOn w:val="1"/>
    <w:next w:val="12"/>
    <w:qFormat/>
    <w:uiPriority w:val="1"/>
    <w:rPr>
      <w:rFonts w:ascii="宋体" w:hAnsi="宋体" w:eastAsia="宋体" w:cs="宋体"/>
      <w:sz w:val="24"/>
      <w:szCs w:val="24"/>
      <w:lang w:val="zh-CN" w:eastAsia="zh-CN" w:bidi="zh-CN"/>
    </w:rPr>
  </w:style>
  <w:style w:type="paragraph" w:customStyle="1" w:styleId="12">
    <w:name w:val="Normal (Web)1"/>
    <w:basedOn w:val="1"/>
    <w:next w:val="13"/>
    <w:qFormat/>
    <w:uiPriority w:val="0"/>
    <w:pPr>
      <w:widowControl/>
      <w:jc w:val="left"/>
    </w:pPr>
    <w:rPr>
      <w:rFonts w:ascii="宋体"/>
      <w:kern w:val="0"/>
      <w:sz w:val="24"/>
      <w:szCs w:val="21"/>
    </w:rPr>
  </w:style>
  <w:style w:type="paragraph" w:customStyle="1" w:styleId="13">
    <w:name w:val="Date1"/>
    <w:basedOn w:val="1"/>
    <w:next w:val="1"/>
    <w:qFormat/>
    <w:uiPriority w:val="0"/>
    <w:pPr>
      <w:ind w:left="2500" w:leftChars="2500"/>
    </w:pPr>
  </w:style>
  <w:style w:type="paragraph" w:styleId="14">
    <w:name w:val="toc 5"/>
    <w:basedOn w:val="1"/>
    <w:next w:val="1"/>
    <w:qFormat/>
    <w:uiPriority w:val="1"/>
    <w:pPr>
      <w:spacing w:before="5"/>
      <w:ind w:left="1539" w:hanging="541"/>
    </w:pPr>
    <w:rPr>
      <w:rFonts w:ascii="宋体" w:hAnsi="宋体" w:eastAsia="宋体" w:cs="宋体"/>
      <w:b/>
      <w:bCs/>
      <w:i/>
      <w:lang w:val="zh-CN" w:eastAsia="zh-CN" w:bidi="zh-CN"/>
    </w:rPr>
  </w:style>
  <w:style w:type="paragraph" w:styleId="15">
    <w:name w:val="toc 3"/>
    <w:basedOn w:val="1"/>
    <w:next w:val="1"/>
    <w:qFormat/>
    <w:uiPriority w:val="1"/>
    <w:pPr>
      <w:spacing w:before="4"/>
      <w:ind w:left="1021" w:hanging="421"/>
    </w:pPr>
    <w:rPr>
      <w:rFonts w:ascii="宋体" w:hAnsi="宋体" w:eastAsia="宋体" w:cs="宋体"/>
      <w:sz w:val="24"/>
      <w:szCs w:val="24"/>
      <w:lang w:val="zh-CN" w:eastAsia="zh-CN" w:bidi="zh-CN"/>
    </w:rPr>
  </w:style>
  <w:style w:type="paragraph" w:styleId="16">
    <w:name w:val="footer"/>
    <w:basedOn w:val="1"/>
    <w:next w:val="1"/>
    <w:qFormat/>
    <w:uiPriority w:val="0"/>
    <w:pPr>
      <w:tabs>
        <w:tab w:val="center" w:pos="4153"/>
        <w:tab w:val="right" w:pos="8306"/>
      </w:tabs>
      <w:snapToGrid w:val="0"/>
      <w:jc w:val="left"/>
    </w:pPr>
    <w:rPr>
      <w:sz w:val="18"/>
      <w:szCs w:val="18"/>
    </w:rPr>
  </w:style>
  <w:style w:type="paragraph" w:styleId="17">
    <w:name w:val="header"/>
    <w:basedOn w:val="1"/>
    <w:qFormat/>
    <w:uiPriority w:val="0"/>
    <w:pPr>
      <w:pBdr>
        <w:bottom w:val="single" w:color="auto" w:sz="6" w:space="1"/>
      </w:pBdr>
      <w:tabs>
        <w:tab w:val="center" w:pos="4153"/>
        <w:tab w:val="right" w:pos="8306"/>
      </w:tabs>
      <w:snapToGrid w:val="0"/>
      <w:jc w:val="center"/>
    </w:pPr>
    <w:rPr>
      <w:sz w:val="18"/>
      <w:szCs w:val="20"/>
    </w:rPr>
  </w:style>
  <w:style w:type="paragraph" w:styleId="18">
    <w:name w:val="toc 1"/>
    <w:basedOn w:val="1"/>
    <w:next w:val="1"/>
    <w:qFormat/>
    <w:uiPriority w:val="39"/>
    <w:pPr>
      <w:spacing w:before="120" w:after="120"/>
      <w:jc w:val="left"/>
    </w:pPr>
    <w:rPr>
      <w:b/>
      <w:bCs/>
      <w:caps/>
      <w:sz w:val="20"/>
      <w:szCs w:val="20"/>
    </w:rPr>
  </w:style>
  <w:style w:type="paragraph" w:styleId="19">
    <w:name w:val="toc 4"/>
    <w:basedOn w:val="1"/>
    <w:next w:val="1"/>
    <w:qFormat/>
    <w:uiPriority w:val="1"/>
    <w:pPr>
      <w:spacing w:before="5"/>
      <w:ind w:left="1539" w:hanging="541"/>
    </w:pPr>
    <w:rPr>
      <w:rFonts w:ascii="宋体" w:hAnsi="宋体" w:eastAsia="宋体" w:cs="宋体"/>
      <w:sz w:val="24"/>
      <w:szCs w:val="24"/>
      <w:lang w:val="zh-CN" w:eastAsia="zh-CN" w:bidi="zh-CN"/>
    </w:rPr>
  </w:style>
  <w:style w:type="paragraph" w:styleId="20">
    <w:name w:val="List"/>
    <w:basedOn w:val="1"/>
    <w:next w:val="1"/>
    <w:qFormat/>
    <w:uiPriority w:val="0"/>
    <w:pPr>
      <w:ind w:left="420" w:hanging="420"/>
    </w:pPr>
    <w:rPr>
      <w:rFonts w:ascii="黑体" w:eastAsia="黑体"/>
      <w:sz w:val="24"/>
      <w:szCs w:val="20"/>
    </w:rPr>
  </w:style>
  <w:style w:type="paragraph" w:styleId="21">
    <w:name w:val="Normal (Web)"/>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styleId="22">
    <w:name w:val="Body Text First Indent"/>
    <w:basedOn w:val="11"/>
    <w:next w:val="1"/>
    <w:qFormat/>
    <w:uiPriority w:val="0"/>
    <w:pPr>
      <w:ind w:firstLine="420" w:firstLineChars="100"/>
    </w:pPr>
    <w:rPr>
      <w:rFonts w:ascii="Times New Roman"/>
      <w:kern w:val="2"/>
      <w:sz w:val="21"/>
      <w:szCs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uiPriority w:val="0"/>
  </w:style>
  <w:style w:type="paragraph" w:customStyle="1" w:styleId="27">
    <w:name w:val="【正文】"/>
    <w:basedOn w:val="1"/>
    <w:next w:val="1"/>
    <w:qFormat/>
    <w:uiPriority w:val="0"/>
    <w:pPr>
      <w:adjustRightInd w:val="0"/>
      <w:snapToGrid w:val="0"/>
      <w:spacing w:line="480" w:lineRule="exact"/>
      <w:ind w:firstLine="200" w:firstLineChars="200"/>
      <w:jc w:val="left"/>
    </w:pPr>
    <w:rPr>
      <w:color w:val="0070C0"/>
      <w:sz w:val="24"/>
    </w:rPr>
  </w:style>
  <w:style w:type="table" w:customStyle="1" w:styleId="28">
    <w:name w:val="Table Normal"/>
    <w:semiHidden/>
    <w:unhideWhenUsed/>
    <w:qFormat/>
    <w:uiPriority w:val="2"/>
    <w:tblPr>
      <w:tblCellMar>
        <w:top w:w="0" w:type="dxa"/>
        <w:left w:w="0" w:type="dxa"/>
        <w:bottom w:w="0" w:type="dxa"/>
        <w:right w:w="0" w:type="dxa"/>
      </w:tblCellMar>
    </w:tblPr>
  </w:style>
  <w:style w:type="paragraph" w:customStyle="1" w:styleId="29">
    <w:name w:val="正"/>
    <w:basedOn w:val="1"/>
    <w:qFormat/>
    <w:uiPriority w:val="0"/>
    <w:pPr>
      <w:spacing w:beforeLines="25" w:afterLines="25" w:line="440" w:lineRule="exact"/>
      <w:ind w:firstLine="200" w:firstLineChars="200"/>
    </w:pPr>
    <w:rPr>
      <w:rFonts w:ascii="Times New Roman"/>
      <w:kern w:val="2"/>
    </w:rPr>
  </w:style>
  <w:style w:type="paragraph" w:customStyle="1" w:styleId="30">
    <w:name w:val="12Z1H08KX"/>
    <w:basedOn w:val="1"/>
    <w:qFormat/>
    <w:uiPriority w:val="0"/>
    <w:pPr>
      <w:adjustRightInd w:val="0"/>
      <w:spacing w:after="113" w:line="340" w:lineRule="atLeast"/>
      <w:textAlignment w:val="baseline"/>
    </w:pPr>
    <w:rPr>
      <w:rFonts w:ascii="昆仑细圆" w:eastAsia="昆仑细圆"/>
      <w:spacing w:val="20"/>
      <w:kern w:val="0"/>
      <w:sz w:val="24"/>
      <w:szCs w:val="20"/>
    </w:rPr>
  </w:style>
  <w:style w:type="paragraph" w:customStyle="1" w:styleId="31">
    <w:name w:val="表格牛"/>
    <w:basedOn w:val="1"/>
    <w:qFormat/>
    <w:uiPriority w:val="0"/>
    <w:pPr>
      <w:spacing w:line="360" w:lineRule="exact"/>
      <w:ind w:firstLine="0" w:firstLineChars="0"/>
      <w:jc w:val="center"/>
    </w:pPr>
    <w:rPr>
      <w:rFonts w:cs="Times New Roman"/>
      <w:color w:val="auto"/>
      <w:w w:val="99"/>
      <w:sz w:val="21"/>
      <w:szCs w:val="21"/>
    </w:rPr>
  </w:style>
  <w:style w:type="paragraph" w:customStyle="1" w:styleId="32">
    <w:name w:val="Normal"/>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33">
    <w:name w:val="表格内正文"/>
    <w:basedOn w:val="1"/>
    <w:qFormat/>
    <w:uiPriority w:val="0"/>
    <w:pPr>
      <w:spacing w:line="360" w:lineRule="auto"/>
      <w:jc w:val="center"/>
    </w:pPr>
    <w:rPr>
      <w:rFonts w:ascii="Times New Roman"/>
      <w:kern w:val="2"/>
      <w:sz w:val="21"/>
      <w:szCs w:val="24"/>
    </w:rPr>
  </w:style>
  <w:style w:type="paragraph" w:customStyle="1" w:styleId="34">
    <w:name w:val="样式 环保表内字（五号） + 段前: 7.8 磅"/>
    <w:basedOn w:val="1"/>
    <w:qFormat/>
    <w:uiPriority w:val="0"/>
    <w:pPr>
      <w:adjustRightInd w:val="0"/>
      <w:snapToGrid w:val="0"/>
      <w:spacing w:line="0" w:lineRule="atLeast"/>
    </w:pPr>
    <w:rPr>
      <w:rFonts w:eastAsia="宋体" w:cs="宋体"/>
      <w:snapToGrid w:val="0"/>
      <w:color w:val="000000"/>
      <w:kern w:val="0"/>
      <w:szCs w:val="20"/>
    </w:rPr>
  </w:style>
  <w:style w:type="paragraph" w:customStyle="1" w:styleId="35">
    <w:name w:val="表格内"/>
    <w:basedOn w:val="20"/>
    <w:next w:val="1"/>
    <w:qFormat/>
    <w:uiPriority w:val="0"/>
    <w:pPr>
      <w:snapToGrid w:val="0"/>
      <w:spacing w:line="360" w:lineRule="exact"/>
      <w:jc w:val="center"/>
    </w:pPr>
    <w:rPr>
      <w:rFonts w:ascii="Calibri" w:hAnsi="Calibri"/>
      <w:sz w:val="21"/>
      <w:szCs w:val="21"/>
    </w:rPr>
  </w:style>
  <w:style w:type="paragraph" w:customStyle="1" w:styleId="36">
    <w:name w:val="Table Paragraph"/>
    <w:basedOn w:val="1"/>
    <w:qFormat/>
    <w:uiPriority w:val="1"/>
    <w:pPr>
      <w:jc w:val="center"/>
    </w:pPr>
    <w:rPr>
      <w:rFonts w:ascii="宋体" w:hAnsi="宋体" w:eastAsia="宋体" w:cs="宋体"/>
      <w:lang w:val="zh-CN" w:eastAsia="zh-CN" w:bidi="zh-CN"/>
    </w:rPr>
  </w:style>
  <w:style w:type="paragraph" w:customStyle="1" w:styleId="37">
    <w:name w:val="付正文"/>
    <w:basedOn w:val="1"/>
    <w:semiHidden/>
    <w:qFormat/>
    <w:uiPriority w:val="0"/>
    <w:pPr>
      <w:spacing w:line="360" w:lineRule="auto"/>
      <w:ind w:firstLine="200" w:firstLineChars="200"/>
    </w:pPr>
    <w:rPr>
      <w:rFonts w:ascii="宋体"/>
      <w:color w:val="000000"/>
      <w:sz w:val="24"/>
      <w:szCs w:val="21"/>
    </w:rPr>
  </w:style>
  <w:style w:type="paragraph" w:customStyle="1" w:styleId="38">
    <w:name w:val="WPSOffice手动目录 1"/>
    <w:qFormat/>
    <w:uiPriority w:val="0"/>
    <w:pPr>
      <w:ind w:leftChars="0"/>
    </w:pPr>
    <w:rPr>
      <w:rFonts w:ascii="Times New Roman" w:hAnsi="Times New Roman" w:eastAsia="宋体" w:cs="Times New Roman"/>
      <w:sz w:val="20"/>
      <w:szCs w:val="20"/>
    </w:rPr>
  </w:style>
  <w:style w:type="paragraph" w:customStyle="1" w:styleId="39">
    <w:name w:val="WPSOffice手动目录 2"/>
    <w:qFormat/>
    <w:uiPriority w:val="0"/>
    <w:pPr>
      <w:ind w:leftChars="200"/>
    </w:pPr>
    <w:rPr>
      <w:rFonts w:ascii="Times New Roman" w:hAnsi="Times New Roman" w:eastAsia="宋体" w:cs="Times New Roman"/>
      <w:sz w:val="20"/>
      <w:szCs w:val="20"/>
    </w:rPr>
  </w:style>
  <w:style w:type="paragraph" w:customStyle="1" w:styleId="40">
    <w:name w:val="WPSOffice手动目录 3"/>
    <w:qFormat/>
    <w:uiPriority w:val="0"/>
    <w:pPr>
      <w:ind w:leftChars="400"/>
    </w:pPr>
    <w:rPr>
      <w:rFonts w:ascii="Times New Roman" w:hAnsi="Times New Roman" w:eastAsia="宋体" w:cs="Times New Roman"/>
      <w:sz w:val="20"/>
      <w:szCs w:val="20"/>
    </w:rPr>
  </w:style>
  <w:style w:type="paragraph" w:customStyle="1" w:styleId="41">
    <w:name w:val="正文格式"/>
    <w:basedOn w:val="1"/>
    <w:next w:val="1"/>
    <w:qFormat/>
    <w:uiPriority w:val="0"/>
    <w:pPr>
      <w:spacing w:line="360" w:lineRule="auto"/>
      <w:ind w:firstLine="544" w:firstLineChars="200"/>
    </w:pPr>
    <w:rPr>
      <w:rFonts w:ascii="Times New Roman" w:hAnsi="Times New Roman" w:cs="宋体"/>
      <w:sz w:val="24"/>
    </w:rPr>
  </w:style>
  <w:style w:type="paragraph" w:customStyle="1" w:styleId="42">
    <w:name w:val="表名1"/>
    <w:basedOn w:val="43"/>
    <w:qFormat/>
    <w:uiPriority w:val="99"/>
  </w:style>
  <w:style w:type="paragraph" w:customStyle="1" w:styleId="43">
    <w:name w:val="报告"/>
    <w:basedOn w:val="1"/>
    <w:qFormat/>
    <w:uiPriority w:val="0"/>
    <w:pPr>
      <w:spacing w:line="440" w:lineRule="exact"/>
      <w:ind w:firstLine="451" w:firstLineChars="196"/>
    </w:pPr>
    <w:rPr>
      <w:rFonts w:ascii="宋体" w:hAnsi="宋体"/>
      <w:spacing w:val="-5"/>
      <w:sz w:val="24"/>
      <w:szCs w:val="32"/>
    </w:rPr>
  </w:style>
  <w:style w:type="character" w:customStyle="1" w:styleId="44">
    <w:name w:val="fontstyle01"/>
    <w:basedOn w:val="25"/>
    <w:uiPriority w:val="0"/>
    <w:rPr>
      <w:rFonts w:hint="default" w:ascii="Times New Roman" w:hAnsi="Times New Roman" w:cs="Times New Roman"/>
      <w:color w:val="000000"/>
      <w:sz w:val="24"/>
      <w:szCs w:val="24"/>
    </w:rPr>
  </w:style>
  <w:style w:type="character" w:customStyle="1" w:styleId="45">
    <w:name w:val="fontstyle21"/>
    <w:basedOn w:val="25"/>
    <w:uiPriority w:val="0"/>
    <w:rPr>
      <w:rFonts w:hint="eastAsia" w:ascii="宋体" w:hAnsi="宋体" w:eastAsia="宋体" w:cs="宋体"/>
      <w:color w:val="000000"/>
      <w:sz w:val="24"/>
      <w:szCs w:val="24"/>
    </w:rPr>
  </w:style>
  <w:style w:type="paragraph" w:styleId="46">
    <w:name w:val="List Paragraph"/>
    <w:basedOn w:val="1"/>
    <w:qFormat/>
    <w:uiPriority w:val="1"/>
    <w:pPr>
      <w:ind w:left="1320" w:hanging="600"/>
    </w:pPr>
    <w:rPr>
      <w:rFonts w:ascii="宋体" w:hAnsi="宋体" w:eastAsia="宋体" w:cs="宋体"/>
      <w:lang w:val="en-US" w:eastAsia="zh-CN" w:bidi="ar-SA"/>
    </w:rPr>
  </w:style>
  <w:style w:type="character" w:customStyle="1" w:styleId="47">
    <w:name w:val="font21"/>
    <w:basedOn w:val="25"/>
    <w:uiPriority w:val="0"/>
    <w:rPr>
      <w:rFonts w:hint="default" w:ascii="Times New Roman" w:hAnsi="Times New Roman" w:cs="Times New Roman"/>
      <w:color w:val="000000"/>
      <w:sz w:val="21"/>
      <w:szCs w:val="21"/>
      <w:u w:val="none"/>
    </w:rPr>
  </w:style>
  <w:style w:type="character" w:customStyle="1" w:styleId="48">
    <w:name w:val="font11"/>
    <w:basedOn w:val="25"/>
    <w:uiPriority w:val="0"/>
    <w:rPr>
      <w:rFonts w:hint="eastAsia" w:ascii="宋体" w:hAnsi="宋体" w:eastAsia="宋体" w:cs="宋体"/>
      <w:color w:val="000000"/>
      <w:sz w:val="21"/>
      <w:szCs w:val="21"/>
      <w:u w:val="none"/>
    </w:rPr>
  </w:style>
  <w:style w:type="character" w:customStyle="1" w:styleId="49">
    <w:name w:val="font41"/>
    <w:basedOn w:val="25"/>
    <w:uiPriority w:val="0"/>
    <w:rPr>
      <w:rFonts w:hint="default" w:ascii="Times New Roman" w:hAnsi="Times New Roman" w:cs="Times New Roman"/>
      <w:color w:val="000000"/>
      <w:sz w:val="21"/>
      <w:szCs w:val="21"/>
      <w:u w:val="none"/>
      <w:vertAlign w:val="superscript"/>
    </w:rPr>
  </w:style>
  <w:style w:type="character" w:customStyle="1" w:styleId="50">
    <w:name w:val="font31"/>
    <w:basedOn w:val="25"/>
    <w:uiPriority w:val="0"/>
    <w:rPr>
      <w:rFonts w:hint="default" w:ascii="Times New Roman" w:hAnsi="Times New Roman" w:cs="Times New Roman"/>
      <w:color w:val="000000"/>
      <w:sz w:val="21"/>
      <w:szCs w:val="21"/>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header" Target="head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wmf"/><Relationship Id="rId54" Type="http://schemas.openxmlformats.org/officeDocument/2006/relationships/oleObject" Target="embeddings/oleObject2.bin"/><Relationship Id="rId53" Type="http://schemas.openxmlformats.org/officeDocument/2006/relationships/image" Target="media/image33.png"/><Relationship Id="rId52" Type="http://schemas.openxmlformats.org/officeDocument/2006/relationships/image" Target="media/image32.wmf"/><Relationship Id="rId51" Type="http://schemas.openxmlformats.org/officeDocument/2006/relationships/oleObject" Target="embeddings/oleObject1.bin"/><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wmf"/><Relationship Id="rId44" Type="http://schemas.openxmlformats.org/officeDocument/2006/relationships/image" Target="media/image25.wmf"/><Relationship Id="rId43" Type="http://schemas.openxmlformats.org/officeDocument/2006/relationships/image" Target="media/image24.wmf"/><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194</Pages>
  <Words>97875</Words>
  <Characters>119134</Characters>
  <Lines>0</Lines>
  <Paragraphs>0</Paragraphs>
  <TotalTime>80</TotalTime>
  <ScaleCrop>false</ScaleCrop>
  <LinksUpToDate>false</LinksUpToDate>
  <CharactersWithSpaces>121728</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2022-03-22T01:14:00Z</dcterms:created>
  <dc:creator>Administrator</dc:creator>
  <cp:lastModifiedBy>赵玉峰_永青环保18504590024</cp:lastModifiedBy>
  <dcterms:modified xsi:type="dcterms:W3CDTF">2023-08-23T02:01:18Z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8995FF530AA74889BB2303B90D98D030_13</vt:lpwstr>
  </property>
</Properties>
</file>